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3F2" w:rsidRDefault="00A01450" w:rsidP="00F803F2">
      <w:pPr>
        <w:jc w:val="center"/>
        <w:rPr>
          <w:rFonts w:ascii="Times New Roman" w:hAnsi="Times New Roman" w:cs="Times New Roman"/>
          <w:sz w:val="96"/>
          <w:szCs w:val="96"/>
        </w:rPr>
      </w:pPr>
      <w:r>
        <w:rPr>
          <w:rFonts w:ascii="Arial" w:hAnsi="Arial" w:cs="Arial"/>
          <w:color w:val="0066CC"/>
          <w:sz w:val="18"/>
          <w:szCs w:val="18"/>
          <w:lang w:eastAsia="tr-TR"/>
        </w:rPr>
        <w:drawing>
          <wp:inline distT="0" distB="0" distL="0" distR="0">
            <wp:extent cx="2238375" cy="981075"/>
            <wp:effectExtent l="19050" t="0" r="9525" b="0"/>
            <wp:docPr id="1" name="Resim 1" descr="TİM - Türkiye İhracatçılar Meclisi">
              <a:hlinkClick xmlns:a="http://schemas.openxmlformats.org/drawingml/2006/main" r:id="rId8" tooltip="&quot;TİM - Türkiye İhracatçılar Meclis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 - Türkiye İhracatçılar Meclisi">
                      <a:hlinkClick r:id="rId8" tooltip="&quot;TİM - Türkiye İhracatçılar Meclisi&quot;"/>
                    </pic:cNvPr>
                    <pic:cNvPicPr>
                      <a:picLocks noChangeAspect="1" noChangeArrowheads="1"/>
                    </pic:cNvPicPr>
                  </pic:nvPicPr>
                  <pic:blipFill>
                    <a:blip r:embed="rId9" cstate="print"/>
                    <a:srcRect/>
                    <a:stretch>
                      <a:fillRect/>
                    </a:stretch>
                  </pic:blipFill>
                  <pic:spPr bwMode="auto">
                    <a:xfrm>
                      <a:off x="0" y="0"/>
                      <a:ext cx="2238375" cy="981075"/>
                    </a:xfrm>
                    <a:prstGeom prst="rect">
                      <a:avLst/>
                    </a:prstGeom>
                    <a:noFill/>
                    <a:ln w="9525">
                      <a:noFill/>
                      <a:miter lim="800000"/>
                      <a:headEnd/>
                      <a:tailEnd/>
                    </a:ln>
                  </pic:spPr>
                </pic:pic>
              </a:graphicData>
            </a:graphic>
          </wp:inline>
        </w:drawing>
      </w:r>
    </w:p>
    <w:p w:rsidR="00F803F2" w:rsidRDefault="00F803F2" w:rsidP="00F803F2">
      <w:pPr>
        <w:jc w:val="center"/>
        <w:rPr>
          <w:rFonts w:ascii="Times New Roman" w:hAnsi="Times New Roman" w:cs="Times New Roman"/>
          <w:sz w:val="96"/>
          <w:szCs w:val="96"/>
        </w:rPr>
      </w:pPr>
    </w:p>
    <w:p w:rsidR="00053A11" w:rsidRDefault="00AF4A4A" w:rsidP="00F803F2">
      <w:pPr>
        <w:jc w:val="center"/>
        <w:rPr>
          <w:rFonts w:ascii="Times New Roman" w:hAnsi="Times New Roman" w:cs="Times New Roman"/>
          <w:sz w:val="96"/>
          <w:szCs w:val="96"/>
        </w:rPr>
      </w:pPr>
      <w:r w:rsidRPr="00F803F2">
        <w:rPr>
          <w:rFonts w:ascii="Times New Roman" w:hAnsi="Times New Roman" w:cs="Times New Roman"/>
          <w:sz w:val="96"/>
          <w:szCs w:val="96"/>
        </w:rPr>
        <w:t xml:space="preserve">TÜRK SANAYİ SEKTÖRÜNÜN </w:t>
      </w:r>
    </w:p>
    <w:p w:rsidR="00AF4A4A" w:rsidRPr="00F803F2" w:rsidRDefault="00AF4A4A" w:rsidP="00F803F2">
      <w:pPr>
        <w:jc w:val="center"/>
        <w:rPr>
          <w:rFonts w:ascii="Times New Roman" w:hAnsi="Times New Roman" w:cs="Times New Roman"/>
          <w:sz w:val="96"/>
          <w:szCs w:val="96"/>
        </w:rPr>
      </w:pPr>
      <w:r w:rsidRPr="00F803F2">
        <w:rPr>
          <w:rFonts w:ascii="Times New Roman" w:hAnsi="Times New Roman" w:cs="Times New Roman"/>
          <w:sz w:val="96"/>
          <w:szCs w:val="96"/>
        </w:rPr>
        <w:t xml:space="preserve">AB </w:t>
      </w:r>
      <w:r w:rsidR="00053A11">
        <w:rPr>
          <w:rFonts w:ascii="Times New Roman" w:hAnsi="Times New Roman" w:cs="Times New Roman"/>
          <w:sz w:val="96"/>
          <w:szCs w:val="96"/>
        </w:rPr>
        <w:t xml:space="preserve">ÇEVRE </w:t>
      </w:r>
      <w:r w:rsidRPr="00F803F2">
        <w:rPr>
          <w:rFonts w:ascii="Times New Roman" w:hAnsi="Times New Roman" w:cs="Times New Roman"/>
          <w:sz w:val="96"/>
          <w:szCs w:val="96"/>
        </w:rPr>
        <w:t>MEVZUATINA UYUMU</w:t>
      </w:r>
    </w:p>
    <w:p w:rsidR="0019247A" w:rsidRDefault="0019247A" w:rsidP="00A77E90">
      <w:pPr>
        <w:jc w:val="both"/>
        <w:rPr>
          <w:rFonts w:ascii="Times New Roman" w:hAnsi="Times New Roman" w:cs="Times New Roman"/>
          <w:sz w:val="24"/>
          <w:szCs w:val="24"/>
        </w:rPr>
      </w:pPr>
    </w:p>
    <w:p w:rsidR="0019247A" w:rsidRDefault="0019247A" w:rsidP="00A77E90">
      <w:pPr>
        <w:jc w:val="both"/>
        <w:rPr>
          <w:rFonts w:ascii="Times New Roman" w:hAnsi="Times New Roman" w:cs="Times New Roman"/>
          <w:sz w:val="24"/>
          <w:szCs w:val="24"/>
        </w:rPr>
      </w:pPr>
    </w:p>
    <w:p w:rsidR="0019247A" w:rsidRDefault="0019247A" w:rsidP="00A77E90">
      <w:pPr>
        <w:jc w:val="both"/>
        <w:rPr>
          <w:rFonts w:ascii="Times New Roman" w:hAnsi="Times New Roman" w:cs="Times New Roman"/>
          <w:sz w:val="24"/>
          <w:szCs w:val="24"/>
        </w:rPr>
      </w:pPr>
    </w:p>
    <w:p w:rsidR="00F803F2" w:rsidRDefault="00F803F2" w:rsidP="00A77E90">
      <w:pPr>
        <w:jc w:val="both"/>
        <w:rPr>
          <w:rFonts w:ascii="Times New Roman" w:hAnsi="Times New Roman" w:cs="Times New Roman"/>
          <w:sz w:val="24"/>
          <w:szCs w:val="24"/>
        </w:rPr>
      </w:pPr>
    </w:p>
    <w:p w:rsidR="0019247A" w:rsidRDefault="0019247A" w:rsidP="00A77E90">
      <w:pPr>
        <w:jc w:val="both"/>
        <w:rPr>
          <w:rFonts w:ascii="Times New Roman" w:hAnsi="Times New Roman" w:cs="Times New Roman"/>
          <w:sz w:val="24"/>
          <w:szCs w:val="24"/>
        </w:rPr>
      </w:pPr>
    </w:p>
    <w:p w:rsidR="00F803F2" w:rsidRDefault="00F803F2" w:rsidP="00A77E90">
      <w:pPr>
        <w:jc w:val="both"/>
        <w:rPr>
          <w:rFonts w:ascii="Times New Roman" w:hAnsi="Times New Roman" w:cs="Times New Roman"/>
          <w:sz w:val="24"/>
          <w:szCs w:val="24"/>
        </w:rPr>
      </w:pPr>
      <w:r>
        <w:rPr>
          <w:rFonts w:ascii="Times New Roman" w:hAnsi="Times New Roman" w:cs="Times New Roman"/>
          <w:sz w:val="24"/>
          <w:szCs w:val="24"/>
        </w:rPr>
        <w:t xml:space="preserve">                         İMMİB AB Mevzuatı’na Uyum Şubesi tarafından hazırlanmıştır.</w:t>
      </w:r>
    </w:p>
    <w:p w:rsidR="0019247A" w:rsidRPr="00F803F2" w:rsidRDefault="00F803F2" w:rsidP="00A77E90">
      <w:pPr>
        <w:jc w:val="both"/>
        <w:rPr>
          <w:rFonts w:ascii="Times New Roman" w:hAnsi="Times New Roman" w:cs="Times New Roman"/>
          <w:b/>
          <w:sz w:val="24"/>
          <w:szCs w:val="24"/>
        </w:rPr>
      </w:pPr>
      <w:r>
        <w:rPr>
          <w:rFonts w:ascii="Times New Roman" w:hAnsi="Times New Roman" w:cs="Times New Roman"/>
          <w:sz w:val="24"/>
          <w:szCs w:val="24"/>
        </w:rPr>
        <w:t xml:space="preserve">                                                              </w:t>
      </w:r>
      <w:r w:rsidRPr="00F803F2">
        <w:rPr>
          <w:rFonts w:ascii="Times New Roman" w:hAnsi="Times New Roman" w:cs="Times New Roman"/>
          <w:b/>
          <w:sz w:val="24"/>
          <w:szCs w:val="24"/>
        </w:rPr>
        <w:t>Temmuz 2012</w:t>
      </w:r>
    </w:p>
    <w:p w:rsidR="0019247A" w:rsidRDefault="0019247A" w:rsidP="00A77E90">
      <w:pPr>
        <w:jc w:val="both"/>
        <w:rPr>
          <w:rFonts w:ascii="Times New Roman" w:hAnsi="Times New Roman" w:cs="Times New Roman"/>
          <w:sz w:val="24"/>
          <w:szCs w:val="24"/>
        </w:rPr>
      </w:pPr>
    </w:p>
    <w:p w:rsidR="0019247A" w:rsidRPr="00D26BE5" w:rsidRDefault="0019247A" w:rsidP="00A77E90">
      <w:pPr>
        <w:jc w:val="both"/>
        <w:rPr>
          <w:rFonts w:ascii="Times New Roman" w:hAnsi="Times New Roman" w:cs="Times New Roman"/>
          <w:b/>
          <w:sz w:val="32"/>
          <w:szCs w:val="32"/>
        </w:rPr>
      </w:pPr>
      <w:r w:rsidRPr="00D26BE5">
        <w:rPr>
          <w:rFonts w:ascii="Times New Roman" w:hAnsi="Times New Roman" w:cs="Times New Roman"/>
          <w:b/>
          <w:sz w:val="32"/>
          <w:szCs w:val="32"/>
        </w:rPr>
        <w:t>İÇİNDEKİLER</w:t>
      </w:r>
    </w:p>
    <w:p w:rsidR="0019247A" w:rsidRDefault="0019247A" w:rsidP="00A77E90">
      <w:pPr>
        <w:jc w:val="both"/>
        <w:rPr>
          <w:rFonts w:ascii="Times New Roman" w:hAnsi="Times New Roman" w:cs="Times New Roman"/>
          <w:sz w:val="24"/>
          <w:szCs w:val="24"/>
        </w:rPr>
      </w:pPr>
    </w:p>
    <w:p w:rsidR="00535348" w:rsidRPr="00A77E90" w:rsidRDefault="00694F7D" w:rsidP="00535348">
      <w:pPr>
        <w:jc w:val="both"/>
        <w:rPr>
          <w:rFonts w:ascii="Times New Roman" w:hAnsi="Times New Roman" w:cs="Times New Roman"/>
          <w:b/>
          <w:sz w:val="24"/>
          <w:szCs w:val="24"/>
        </w:rPr>
      </w:pPr>
      <w:r>
        <w:rPr>
          <w:rFonts w:ascii="Times New Roman" w:hAnsi="Times New Roman" w:cs="Times New Roman"/>
          <w:sz w:val="24"/>
          <w:szCs w:val="24"/>
        </w:rPr>
        <w:t xml:space="preserve">1- </w:t>
      </w:r>
      <w:r w:rsidR="00535348" w:rsidRPr="00A77E90">
        <w:rPr>
          <w:rFonts w:ascii="Times New Roman" w:hAnsi="Times New Roman" w:cs="Times New Roman"/>
          <w:b/>
          <w:sz w:val="24"/>
          <w:szCs w:val="24"/>
        </w:rPr>
        <w:t>Çevre Yönetimi’nde AB Süreci</w:t>
      </w:r>
    </w:p>
    <w:p w:rsidR="009A26F5" w:rsidRPr="00A77E90" w:rsidRDefault="00535348" w:rsidP="009A26F5">
      <w:pPr>
        <w:jc w:val="both"/>
        <w:rPr>
          <w:rFonts w:ascii="Times New Roman" w:hAnsi="Times New Roman" w:cs="Times New Roman"/>
          <w:b/>
          <w:sz w:val="24"/>
          <w:szCs w:val="24"/>
        </w:rPr>
      </w:pPr>
      <w:r>
        <w:rPr>
          <w:rFonts w:ascii="Times New Roman" w:hAnsi="Times New Roman" w:cs="Times New Roman"/>
          <w:sz w:val="24"/>
          <w:szCs w:val="24"/>
        </w:rPr>
        <w:t xml:space="preserve">2- </w:t>
      </w:r>
      <w:r w:rsidR="009A26F5" w:rsidRPr="00A77E90">
        <w:rPr>
          <w:rFonts w:ascii="Times New Roman" w:hAnsi="Times New Roman" w:cs="Times New Roman"/>
          <w:b/>
          <w:sz w:val="24"/>
          <w:szCs w:val="24"/>
        </w:rPr>
        <w:t>Türkiye Avrupa Birliği Çevre Mevzuatı İlişkileri</w:t>
      </w:r>
    </w:p>
    <w:p w:rsidR="0019247A" w:rsidRDefault="009A26F5" w:rsidP="00A77E90">
      <w:pPr>
        <w:jc w:val="both"/>
        <w:rPr>
          <w:rFonts w:ascii="Times New Roman" w:hAnsi="Times New Roman" w:cs="Times New Roman"/>
          <w:b/>
          <w:sz w:val="24"/>
          <w:szCs w:val="24"/>
        </w:rPr>
      </w:pPr>
      <w:r>
        <w:rPr>
          <w:rFonts w:ascii="Times New Roman" w:hAnsi="Times New Roman" w:cs="Times New Roman"/>
          <w:sz w:val="24"/>
          <w:szCs w:val="24"/>
        </w:rPr>
        <w:t xml:space="preserve">3- </w:t>
      </w:r>
      <w:r w:rsidR="001174A0" w:rsidRPr="001174A0">
        <w:rPr>
          <w:rFonts w:ascii="Times New Roman" w:hAnsi="Times New Roman" w:cs="Times New Roman"/>
          <w:b/>
          <w:sz w:val="24"/>
          <w:szCs w:val="24"/>
        </w:rPr>
        <w:t>REACH Tüzüğü</w:t>
      </w:r>
      <w:r w:rsidR="00A017C5">
        <w:rPr>
          <w:rFonts w:ascii="Times New Roman" w:hAnsi="Times New Roman" w:cs="Times New Roman"/>
          <w:b/>
          <w:sz w:val="24"/>
          <w:szCs w:val="24"/>
        </w:rPr>
        <w:t xml:space="preserve"> Sanayiyi Nasıl Etkiliyor?</w:t>
      </w:r>
    </w:p>
    <w:p w:rsidR="00A017C5" w:rsidRDefault="00A017C5" w:rsidP="00A77E90">
      <w:pPr>
        <w:jc w:val="both"/>
        <w:rPr>
          <w:rFonts w:ascii="Times New Roman" w:hAnsi="Times New Roman" w:cs="Times New Roman"/>
          <w:sz w:val="24"/>
          <w:szCs w:val="24"/>
        </w:rPr>
      </w:pPr>
      <w:r w:rsidRPr="00A017C5">
        <w:rPr>
          <w:rFonts w:ascii="Times New Roman" w:hAnsi="Times New Roman" w:cs="Times New Roman"/>
          <w:sz w:val="24"/>
          <w:szCs w:val="24"/>
        </w:rPr>
        <w:t>4-</w:t>
      </w:r>
      <w:r>
        <w:rPr>
          <w:rFonts w:ascii="Times New Roman" w:hAnsi="Times New Roman" w:cs="Times New Roman"/>
          <w:b/>
          <w:sz w:val="24"/>
          <w:szCs w:val="24"/>
        </w:rPr>
        <w:t xml:space="preserve"> Türkiye REACH Tüzüğü’ne Uyumlu mu?</w:t>
      </w:r>
    </w:p>
    <w:p w:rsidR="008104DC" w:rsidRDefault="00B938DC" w:rsidP="00A77E90">
      <w:pPr>
        <w:jc w:val="both"/>
        <w:rPr>
          <w:rFonts w:ascii="Times New Roman" w:hAnsi="Times New Roman" w:cs="Times New Roman"/>
          <w:b/>
          <w:sz w:val="24"/>
          <w:szCs w:val="24"/>
        </w:rPr>
      </w:pPr>
      <w:r>
        <w:rPr>
          <w:rFonts w:ascii="Times New Roman" w:hAnsi="Times New Roman" w:cs="Times New Roman"/>
          <w:sz w:val="24"/>
          <w:szCs w:val="24"/>
        </w:rPr>
        <w:t>5</w:t>
      </w:r>
      <w:r w:rsidR="008104DC">
        <w:rPr>
          <w:rFonts w:ascii="Times New Roman" w:hAnsi="Times New Roman" w:cs="Times New Roman"/>
          <w:sz w:val="24"/>
          <w:szCs w:val="24"/>
        </w:rPr>
        <w:t xml:space="preserve">- </w:t>
      </w:r>
      <w:r w:rsidR="008104DC" w:rsidRPr="008104DC">
        <w:rPr>
          <w:rFonts w:ascii="Times New Roman" w:hAnsi="Times New Roman" w:cs="Times New Roman"/>
          <w:b/>
          <w:sz w:val="24"/>
          <w:szCs w:val="24"/>
        </w:rPr>
        <w:t>CLP Tüzüğü ve Türkiye’de Uyumlaştırma Çalışmaları</w:t>
      </w:r>
    </w:p>
    <w:p w:rsidR="001174A0" w:rsidRDefault="00B938DC" w:rsidP="00A77E90">
      <w:pPr>
        <w:jc w:val="both"/>
        <w:rPr>
          <w:rFonts w:ascii="Times New Roman" w:eastAsia="Calibri" w:hAnsi="Times New Roman" w:cs="Times New Roman"/>
          <w:b/>
          <w:color w:val="000000"/>
          <w:sz w:val="24"/>
          <w:szCs w:val="24"/>
        </w:rPr>
      </w:pPr>
      <w:r>
        <w:rPr>
          <w:rFonts w:ascii="Times New Roman" w:hAnsi="Times New Roman" w:cs="Times New Roman"/>
          <w:sz w:val="24"/>
          <w:szCs w:val="24"/>
        </w:rPr>
        <w:t>6</w:t>
      </w:r>
      <w:r w:rsidR="001174A0" w:rsidRPr="001174A0">
        <w:rPr>
          <w:rFonts w:ascii="Times New Roman" w:hAnsi="Times New Roman" w:cs="Times New Roman"/>
          <w:sz w:val="24"/>
          <w:szCs w:val="24"/>
        </w:rPr>
        <w:t>-</w:t>
      </w:r>
      <w:r w:rsidR="001174A0">
        <w:rPr>
          <w:rFonts w:ascii="Times New Roman" w:hAnsi="Times New Roman" w:cs="Times New Roman"/>
          <w:b/>
          <w:sz w:val="24"/>
          <w:szCs w:val="24"/>
        </w:rPr>
        <w:t xml:space="preserve"> </w:t>
      </w:r>
      <w:r w:rsidR="00E749C0" w:rsidRPr="00E749C0">
        <w:rPr>
          <w:rFonts w:ascii="Times New Roman" w:eastAsia="Calibri" w:hAnsi="Times New Roman" w:cs="Times New Roman"/>
          <w:b/>
          <w:color w:val="000000"/>
          <w:sz w:val="24"/>
          <w:szCs w:val="24"/>
        </w:rPr>
        <w:t>Türkiye Endüstriyel  Kazaların Önlenmesinde AB’ye Uyumlu Mu?</w:t>
      </w:r>
    </w:p>
    <w:p w:rsidR="00E749C0" w:rsidRPr="00E749C0" w:rsidRDefault="00E749C0" w:rsidP="00A77E90">
      <w:pPr>
        <w:jc w:val="both"/>
        <w:rPr>
          <w:rFonts w:ascii="Times New Roman" w:hAnsi="Times New Roman" w:cs="Times New Roman"/>
          <w:sz w:val="24"/>
          <w:szCs w:val="24"/>
        </w:rPr>
      </w:pPr>
      <w:r w:rsidRPr="00E749C0">
        <w:rPr>
          <w:rFonts w:ascii="Times New Roman" w:eastAsia="Calibri" w:hAnsi="Times New Roman" w:cs="Times New Roman"/>
          <w:color w:val="000000"/>
          <w:sz w:val="24"/>
          <w:szCs w:val="24"/>
        </w:rPr>
        <w:t xml:space="preserve">7- </w:t>
      </w:r>
      <w:r w:rsidR="00DB0825" w:rsidRPr="00DB0825">
        <w:rPr>
          <w:rFonts w:ascii="Times New Roman" w:eastAsia="Calibri" w:hAnsi="Times New Roman" w:cs="Times New Roman"/>
          <w:b/>
          <w:color w:val="000000"/>
          <w:sz w:val="24"/>
          <w:szCs w:val="24"/>
        </w:rPr>
        <w:t xml:space="preserve">Yeni SEVESO III </w:t>
      </w:r>
      <w:r w:rsidR="00DB0825" w:rsidRPr="00DB0825">
        <w:rPr>
          <w:rFonts w:ascii="Times New Roman" w:eastAsia="Calibri" w:hAnsi="Times New Roman" w:cs="Times New Roman"/>
          <w:b/>
          <w:sz w:val="24"/>
          <w:szCs w:val="24"/>
        </w:rPr>
        <w:t>Direktifi Ne Getiriyor ?</w:t>
      </w:r>
    </w:p>
    <w:p w:rsidR="00A64FEC" w:rsidRDefault="00E749C0" w:rsidP="00A77E90">
      <w:pPr>
        <w:jc w:val="both"/>
        <w:rPr>
          <w:rFonts w:ascii="Times New Roman" w:hAnsi="Times New Roman" w:cs="Times New Roman"/>
          <w:b/>
          <w:sz w:val="24"/>
          <w:szCs w:val="24"/>
        </w:rPr>
      </w:pPr>
      <w:r>
        <w:rPr>
          <w:rFonts w:ascii="Times New Roman" w:hAnsi="Times New Roman" w:cs="Times New Roman"/>
          <w:sz w:val="24"/>
          <w:szCs w:val="24"/>
        </w:rPr>
        <w:t>8</w:t>
      </w:r>
      <w:r w:rsidR="00A64FEC" w:rsidRPr="00A64FEC">
        <w:rPr>
          <w:rFonts w:ascii="Times New Roman" w:hAnsi="Times New Roman" w:cs="Times New Roman"/>
          <w:sz w:val="24"/>
          <w:szCs w:val="24"/>
        </w:rPr>
        <w:t>-</w:t>
      </w:r>
      <w:r w:rsidR="00A64FEC">
        <w:rPr>
          <w:rFonts w:ascii="Times New Roman" w:hAnsi="Times New Roman" w:cs="Times New Roman"/>
          <w:b/>
          <w:sz w:val="24"/>
          <w:szCs w:val="24"/>
        </w:rPr>
        <w:t xml:space="preserve"> Atık Mevzuatı ve AB Düzenlemeleri ile Uyumu</w:t>
      </w:r>
    </w:p>
    <w:p w:rsidR="004443B0" w:rsidRDefault="00E749C0" w:rsidP="004443B0">
      <w:pPr>
        <w:spacing w:after="0"/>
        <w:rPr>
          <w:rFonts w:ascii="Times New Roman" w:hAnsi="Times New Roman" w:cs="Times New Roman"/>
          <w:b/>
          <w:sz w:val="24"/>
          <w:szCs w:val="24"/>
        </w:rPr>
      </w:pPr>
      <w:r>
        <w:rPr>
          <w:rFonts w:ascii="Times New Roman" w:hAnsi="Times New Roman" w:cs="Times New Roman"/>
          <w:sz w:val="24"/>
          <w:szCs w:val="24"/>
        </w:rPr>
        <w:t>9</w:t>
      </w:r>
      <w:r w:rsidR="004443B0" w:rsidRPr="004443B0">
        <w:rPr>
          <w:rFonts w:ascii="Times New Roman" w:hAnsi="Times New Roman" w:cs="Times New Roman"/>
          <w:sz w:val="24"/>
          <w:szCs w:val="24"/>
        </w:rPr>
        <w:t>-</w:t>
      </w:r>
      <w:r w:rsidR="004443B0">
        <w:rPr>
          <w:rFonts w:ascii="Times New Roman" w:hAnsi="Times New Roman" w:cs="Times New Roman"/>
          <w:sz w:val="24"/>
          <w:szCs w:val="24"/>
        </w:rPr>
        <w:t xml:space="preserve"> </w:t>
      </w:r>
      <w:r w:rsidR="004443B0" w:rsidRPr="004443B0">
        <w:rPr>
          <w:rFonts w:ascii="Times New Roman" w:hAnsi="Times New Roman" w:cs="Times New Roman"/>
          <w:b/>
          <w:sz w:val="24"/>
          <w:szCs w:val="24"/>
        </w:rPr>
        <w:t>Çevresel Etki Değerlendirmesi (ÇED) Yönetmeliği</w:t>
      </w:r>
    </w:p>
    <w:p w:rsidR="004443B0" w:rsidRDefault="004443B0" w:rsidP="004443B0">
      <w:pPr>
        <w:spacing w:after="0"/>
        <w:rPr>
          <w:rFonts w:ascii="Times New Roman" w:hAnsi="Times New Roman" w:cs="Times New Roman"/>
          <w:b/>
          <w:sz w:val="24"/>
          <w:szCs w:val="24"/>
        </w:rPr>
      </w:pPr>
    </w:p>
    <w:p w:rsidR="008E2788" w:rsidRPr="001416C2" w:rsidRDefault="00E749C0" w:rsidP="004443B0">
      <w:pPr>
        <w:rPr>
          <w:rFonts w:ascii="Times New Roman" w:hAnsi="Times New Roman"/>
          <w:b/>
          <w:sz w:val="28"/>
          <w:szCs w:val="28"/>
        </w:rPr>
      </w:pPr>
      <w:r>
        <w:rPr>
          <w:rFonts w:ascii="Times New Roman" w:hAnsi="Times New Roman" w:cs="Times New Roman"/>
          <w:sz w:val="24"/>
          <w:szCs w:val="24"/>
        </w:rPr>
        <w:t>10</w:t>
      </w:r>
      <w:r w:rsidR="00CA690B" w:rsidRPr="00CA690B">
        <w:rPr>
          <w:rFonts w:ascii="Times New Roman" w:hAnsi="Times New Roman" w:cs="Times New Roman"/>
          <w:sz w:val="24"/>
          <w:szCs w:val="24"/>
        </w:rPr>
        <w:t xml:space="preserve">- </w:t>
      </w:r>
      <w:r w:rsidR="008E2788" w:rsidRPr="008E2788">
        <w:rPr>
          <w:rFonts w:ascii="Times New Roman" w:hAnsi="Times New Roman"/>
          <w:b/>
          <w:sz w:val="24"/>
          <w:szCs w:val="24"/>
        </w:rPr>
        <w:t>Türkiye Atıklar Konusundaki AB Mevzuatı İle Ne Kadar Uyumlu?</w:t>
      </w:r>
    </w:p>
    <w:p w:rsidR="003D4B41" w:rsidRDefault="00B938DC" w:rsidP="003D4B41">
      <w:pPr>
        <w:pStyle w:val="GvdeMetni"/>
        <w:rPr>
          <w:b/>
          <w:color w:val="auto"/>
          <w:szCs w:val="24"/>
        </w:rPr>
      </w:pPr>
      <w:r>
        <w:rPr>
          <w:color w:val="auto"/>
          <w:szCs w:val="24"/>
        </w:rPr>
        <w:t>1</w:t>
      </w:r>
      <w:r w:rsidR="00E749C0">
        <w:rPr>
          <w:color w:val="auto"/>
          <w:szCs w:val="24"/>
        </w:rPr>
        <w:t>1</w:t>
      </w:r>
      <w:r w:rsidR="003D4B41" w:rsidRPr="003D4B41">
        <w:rPr>
          <w:color w:val="auto"/>
          <w:szCs w:val="24"/>
        </w:rPr>
        <w:t>-</w:t>
      </w:r>
      <w:r w:rsidR="003D4B41" w:rsidRPr="003D4B41">
        <w:rPr>
          <w:b/>
          <w:color w:val="auto"/>
          <w:szCs w:val="24"/>
        </w:rPr>
        <w:t xml:space="preserve"> Atık Yakma Direktifi Uygulamaları</w:t>
      </w:r>
    </w:p>
    <w:p w:rsidR="00320D5E" w:rsidRPr="00320D5E" w:rsidRDefault="00320D5E" w:rsidP="003D4B41">
      <w:pPr>
        <w:pStyle w:val="GvdeMetni"/>
        <w:rPr>
          <w:b/>
          <w:color w:val="auto"/>
          <w:szCs w:val="24"/>
        </w:rPr>
      </w:pPr>
    </w:p>
    <w:p w:rsidR="00320D5E" w:rsidRDefault="00D323EB" w:rsidP="00320D5E">
      <w:pPr>
        <w:pStyle w:val="GvdeMetni"/>
        <w:rPr>
          <w:b/>
          <w:color w:val="auto"/>
          <w:szCs w:val="24"/>
        </w:rPr>
      </w:pPr>
      <w:r>
        <w:rPr>
          <w:color w:val="auto"/>
          <w:szCs w:val="24"/>
        </w:rPr>
        <w:t>1</w:t>
      </w:r>
      <w:r w:rsidR="00E749C0">
        <w:rPr>
          <w:color w:val="auto"/>
          <w:szCs w:val="24"/>
        </w:rPr>
        <w:t>2</w:t>
      </w:r>
      <w:r w:rsidR="00320D5E" w:rsidRPr="00320D5E">
        <w:rPr>
          <w:color w:val="auto"/>
          <w:szCs w:val="24"/>
        </w:rPr>
        <w:t>-</w:t>
      </w:r>
      <w:r w:rsidR="00910B8D">
        <w:rPr>
          <w:color w:val="auto"/>
          <w:szCs w:val="24"/>
        </w:rPr>
        <w:t xml:space="preserve"> </w:t>
      </w:r>
      <w:r w:rsidR="00320D5E" w:rsidRPr="00320D5E">
        <w:rPr>
          <w:b/>
          <w:color w:val="auto"/>
          <w:szCs w:val="24"/>
        </w:rPr>
        <w:t>AB Büyük Yakma Tesisleri Uygulamaları</w:t>
      </w:r>
    </w:p>
    <w:p w:rsidR="00320D5E" w:rsidRDefault="00320D5E" w:rsidP="00320D5E">
      <w:pPr>
        <w:pStyle w:val="GvdeMetni"/>
        <w:rPr>
          <w:b/>
          <w:color w:val="auto"/>
          <w:szCs w:val="24"/>
        </w:rPr>
      </w:pPr>
    </w:p>
    <w:p w:rsidR="00320D5E" w:rsidRDefault="004443B0" w:rsidP="00320D5E">
      <w:pPr>
        <w:pStyle w:val="GvdeMetni"/>
        <w:rPr>
          <w:b/>
          <w:color w:val="auto"/>
          <w:szCs w:val="24"/>
        </w:rPr>
      </w:pPr>
      <w:r>
        <w:rPr>
          <w:color w:val="auto"/>
          <w:szCs w:val="24"/>
        </w:rPr>
        <w:t>1</w:t>
      </w:r>
      <w:r w:rsidR="00E749C0">
        <w:rPr>
          <w:color w:val="auto"/>
          <w:szCs w:val="24"/>
        </w:rPr>
        <w:t>3</w:t>
      </w:r>
      <w:r w:rsidR="00320D5E" w:rsidRPr="00320D5E">
        <w:rPr>
          <w:color w:val="auto"/>
          <w:szCs w:val="24"/>
        </w:rPr>
        <w:t>-</w:t>
      </w:r>
      <w:r w:rsidR="00910B8D">
        <w:rPr>
          <w:color w:val="auto"/>
          <w:szCs w:val="24"/>
        </w:rPr>
        <w:t xml:space="preserve"> </w:t>
      </w:r>
      <w:r w:rsidR="00320D5E" w:rsidRPr="00320D5E">
        <w:rPr>
          <w:b/>
          <w:color w:val="auto"/>
          <w:szCs w:val="24"/>
        </w:rPr>
        <w:t>Endüstriyel Emisyonlar Direktifi</w:t>
      </w:r>
    </w:p>
    <w:p w:rsidR="00D44220" w:rsidRDefault="00D44220" w:rsidP="00320D5E">
      <w:pPr>
        <w:pStyle w:val="GvdeMetni"/>
        <w:rPr>
          <w:b/>
          <w:color w:val="auto"/>
          <w:szCs w:val="24"/>
        </w:rPr>
      </w:pPr>
    </w:p>
    <w:p w:rsidR="00307FBC" w:rsidRDefault="00D44220" w:rsidP="00307FBC">
      <w:pPr>
        <w:pStyle w:val="GvdeMetni"/>
        <w:rPr>
          <w:b/>
          <w:color w:val="auto"/>
          <w:szCs w:val="24"/>
        </w:rPr>
      </w:pPr>
      <w:r w:rsidRPr="00910B8D">
        <w:rPr>
          <w:color w:val="auto"/>
          <w:szCs w:val="24"/>
        </w:rPr>
        <w:t>1</w:t>
      </w:r>
      <w:r w:rsidR="00E749C0">
        <w:rPr>
          <w:color w:val="auto"/>
          <w:szCs w:val="24"/>
        </w:rPr>
        <w:t>4</w:t>
      </w:r>
      <w:r w:rsidRPr="00910B8D">
        <w:rPr>
          <w:color w:val="auto"/>
          <w:szCs w:val="24"/>
        </w:rPr>
        <w:t>-</w:t>
      </w:r>
      <w:r w:rsidR="00307FBC">
        <w:rPr>
          <w:color w:val="auto"/>
          <w:szCs w:val="24"/>
        </w:rPr>
        <w:t xml:space="preserve"> </w:t>
      </w:r>
      <w:r w:rsidR="00307FBC" w:rsidRPr="00307FBC">
        <w:rPr>
          <w:b/>
          <w:color w:val="auto"/>
          <w:szCs w:val="24"/>
        </w:rPr>
        <w:t xml:space="preserve">AB’nin Hava Kalitesi Mevzuatı ve </w:t>
      </w:r>
      <w:proofErr w:type="gramStart"/>
      <w:r w:rsidR="00307FBC" w:rsidRPr="00307FBC">
        <w:rPr>
          <w:b/>
          <w:color w:val="auto"/>
          <w:szCs w:val="24"/>
        </w:rPr>
        <w:t>Türkiye’nin</w:t>
      </w:r>
      <w:proofErr w:type="gramEnd"/>
      <w:r w:rsidR="00307FBC" w:rsidRPr="00307FBC">
        <w:rPr>
          <w:b/>
          <w:color w:val="auto"/>
          <w:szCs w:val="24"/>
        </w:rPr>
        <w:t xml:space="preserve"> Mevzuata Uyum Durumu</w:t>
      </w:r>
    </w:p>
    <w:p w:rsidR="00BB1A36" w:rsidRDefault="00BB1A36" w:rsidP="00307FBC">
      <w:pPr>
        <w:pStyle w:val="GvdeMetni"/>
        <w:rPr>
          <w:b/>
          <w:color w:val="auto"/>
          <w:szCs w:val="24"/>
        </w:rPr>
      </w:pPr>
    </w:p>
    <w:p w:rsidR="00BB1A36" w:rsidRDefault="00BB1A36" w:rsidP="00BB1A36">
      <w:pPr>
        <w:spacing w:after="0"/>
        <w:rPr>
          <w:rFonts w:ascii="Times New Roman" w:hAnsi="Times New Roman"/>
          <w:b/>
          <w:sz w:val="24"/>
          <w:szCs w:val="24"/>
        </w:rPr>
      </w:pPr>
      <w:r w:rsidRPr="00BB1A36">
        <w:rPr>
          <w:rFonts w:ascii="Times New Roman" w:hAnsi="Times New Roman"/>
          <w:sz w:val="24"/>
          <w:szCs w:val="24"/>
        </w:rPr>
        <w:t>1</w:t>
      </w:r>
      <w:r w:rsidR="00E749C0">
        <w:rPr>
          <w:rFonts w:ascii="Times New Roman" w:hAnsi="Times New Roman"/>
          <w:sz w:val="24"/>
          <w:szCs w:val="24"/>
        </w:rPr>
        <w:t>5</w:t>
      </w:r>
      <w:r w:rsidRPr="00BB1A36">
        <w:rPr>
          <w:rFonts w:ascii="Times New Roman" w:hAnsi="Times New Roman"/>
          <w:sz w:val="24"/>
          <w:szCs w:val="24"/>
        </w:rPr>
        <w:t xml:space="preserve">- </w:t>
      </w:r>
      <w:r w:rsidRPr="00BB1A36">
        <w:rPr>
          <w:rFonts w:ascii="Times New Roman" w:hAnsi="Times New Roman"/>
          <w:b/>
          <w:sz w:val="24"/>
          <w:szCs w:val="24"/>
        </w:rPr>
        <w:t>Uçucu Organik Bileşikler Direktifi (VOC)  ve Türkiye’deki İlgili Düzenlemeler</w:t>
      </w:r>
    </w:p>
    <w:p w:rsidR="00C7559D" w:rsidRDefault="00C7559D" w:rsidP="00BB1A36">
      <w:pPr>
        <w:spacing w:after="0"/>
        <w:rPr>
          <w:rFonts w:ascii="Times New Roman" w:hAnsi="Times New Roman"/>
          <w:b/>
          <w:sz w:val="24"/>
          <w:szCs w:val="24"/>
        </w:rPr>
      </w:pPr>
    </w:p>
    <w:p w:rsidR="00C7559D" w:rsidRPr="00BB1A36" w:rsidRDefault="00C7559D" w:rsidP="00BB1A36">
      <w:pPr>
        <w:spacing w:after="0"/>
        <w:rPr>
          <w:rFonts w:ascii="Times New Roman" w:hAnsi="Times New Roman"/>
          <w:sz w:val="24"/>
          <w:szCs w:val="24"/>
        </w:rPr>
      </w:pPr>
      <w:r w:rsidRPr="00C7559D">
        <w:rPr>
          <w:rFonts w:ascii="Times New Roman" w:hAnsi="Times New Roman"/>
          <w:sz w:val="24"/>
          <w:szCs w:val="24"/>
        </w:rPr>
        <w:t>1</w:t>
      </w:r>
      <w:r w:rsidR="00E749C0">
        <w:rPr>
          <w:rFonts w:ascii="Times New Roman" w:hAnsi="Times New Roman"/>
          <w:sz w:val="24"/>
          <w:szCs w:val="24"/>
        </w:rPr>
        <w:t>6</w:t>
      </w:r>
      <w:r w:rsidRPr="00C7559D">
        <w:rPr>
          <w:rFonts w:ascii="Times New Roman" w:hAnsi="Times New Roman"/>
          <w:sz w:val="24"/>
          <w:szCs w:val="24"/>
        </w:rPr>
        <w:t>-</w:t>
      </w:r>
      <w:r>
        <w:rPr>
          <w:rFonts w:ascii="Times New Roman" w:hAnsi="Times New Roman"/>
          <w:b/>
          <w:sz w:val="24"/>
          <w:szCs w:val="24"/>
        </w:rPr>
        <w:t xml:space="preserve"> Emisyon Ticaret Sistemi (</w:t>
      </w:r>
      <w:r w:rsidR="0068412B">
        <w:rPr>
          <w:rFonts w:ascii="Times New Roman" w:hAnsi="Times New Roman"/>
          <w:b/>
          <w:sz w:val="24"/>
          <w:szCs w:val="24"/>
        </w:rPr>
        <w:t xml:space="preserve">ETS </w:t>
      </w:r>
      <w:r>
        <w:rPr>
          <w:rFonts w:ascii="Times New Roman" w:hAnsi="Times New Roman"/>
          <w:b/>
          <w:sz w:val="24"/>
          <w:szCs w:val="24"/>
        </w:rPr>
        <w:t>)</w:t>
      </w:r>
    </w:p>
    <w:p w:rsidR="00BB1A36" w:rsidRDefault="00BB1A36" w:rsidP="00307FBC">
      <w:pPr>
        <w:pStyle w:val="GvdeMetni"/>
        <w:rPr>
          <w:b/>
          <w:color w:val="auto"/>
          <w:sz w:val="28"/>
          <w:szCs w:val="28"/>
        </w:rPr>
      </w:pPr>
    </w:p>
    <w:p w:rsidR="00D44220" w:rsidRPr="00910B8D" w:rsidRDefault="00D44220" w:rsidP="00320D5E">
      <w:pPr>
        <w:pStyle w:val="GvdeMetni"/>
        <w:rPr>
          <w:color w:val="auto"/>
          <w:szCs w:val="24"/>
        </w:rPr>
      </w:pPr>
    </w:p>
    <w:p w:rsidR="00320D5E" w:rsidRPr="00320D5E" w:rsidRDefault="00320D5E" w:rsidP="00320D5E">
      <w:pPr>
        <w:pStyle w:val="GvdeMetni"/>
        <w:rPr>
          <w:b/>
          <w:color w:val="auto"/>
          <w:szCs w:val="24"/>
        </w:rPr>
      </w:pPr>
    </w:p>
    <w:p w:rsidR="00320D5E" w:rsidRPr="003D4B41" w:rsidRDefault="00320D5E" w:rsidP="003D4B41">
      <w:pPr>
        <w:pStyle w:val="GvdeMetni"/>
        <w:rPr>
          <w:b/>
          <w:color w:val="auto"/>
          <w:szCs w:val="24"/>
        </w:rPr>
      </w:pPr>
    </w:p>
    <w:p w:rsidR="00CA690B" w:rsidRPr="00CA690B" w:rsidRDefault="00CA690B" w:rsidP="00A77E90">
      <w:pPr>
        <w:jc w:val="both"/>
        <w:rPr>
          <w:rFonts w:ascii="Times New Roman" w:hAnsi="Times New Roman" w:cs="Times New Roman"/>
          <w:sz w:val="24"/>
          <w:szCs w:val="24"/>
        </w:rPr>
      </w:pPr>
    </w:p>
    <w:p w:rsidR="0019247A" w:rsidRDefault="0019247A" w:rsidP="00A77E90">
      <w:pPr>
        <w:jc w:val="both"/>
        <w:rPr>
          <w:rFonts w:ascii="Times New Roman" w:hAnsi="Times New Roman" w:cs="Times New Roman"/>
          <w:sz w:val="24"/>
          <w:szCs w:val="24"/>
        </w:rPr>
      </w:pPr>
    </w:p>
    <w:p w:rsidR="0019247A" w:rsidRDefault="0019247A" w:rsidP="00A77E90">
      <w:pPr>
        <w:jc w:val="both"/>
        <w:rPr>
          <w:rFonts w:ascii="Times New Roman" w:hAnsi="Times New Roman" w:cs="Times New Roman"/>
          <w:sz w:val="24"/>
          <w:szCs w:val="24"/>
        </w:rPr>
      </w:pPr>
    </w:p>
    <w:p w:rsidR="0019247A" w:rsidRDefault="0019247A" w:rsidP="00A77E90">
      <w:pPr>
        <w:jc w:val="both"/>
        <w:rPr>
          <w:rFonts w:ascii="Times New Roman" w:hAnsi="Times New Roman" w:cs="Times New Roman"/>
          <w:sz w:val="24"/>
          <w:szCs w:val="24"/>
        </w:rPr>
      </w:pPr>
    </w:p>
    <w:p w:rsidR="0019247A" w:rsidRDefault="0019247A" w:rsidP="00A77E90">
      <w:pPr>
        <w:jc w:val="both"/>
        <w:rPr>
          <w:rFonts w:ascii="Times New Roman" w:hAnsi="Times New Roman" w:cs="Times New Roman"/>
          <w:sz w:val="24"/>
          <w:szCs w:val="24"/>
        </w:rPr>
      </w:pPr>
    </w:p>
    <w:p w:rsidR="00530628" w:rsidRPr="002E31B8" w:rsidRDefault="00325A60" w:rsidP="00530628">
      <w:pPr>
        <w:jc w:val="both"/>
        <w:rPr>
          <w:rFonts w:ascii="Times New Roman" w:hAnsi="Times New Roman" w:cs="Times New Roman"/>
          <w:b/>
          <w:sz w:val="24"/>
          <w:szCs w:val="24"/>
        </w:rPr>
      </w:pPr>
      <w:r>
        <w:rPr>
          <w:rFonts w:ascii="Times New Roman" w:hAnsi="Times New Roman" w:cs="Times New Roman"/>
          <w:b/>
          <w:sz w:val="24"/>
          <w:szCs w:val="24"/>
        </w:rPr>
        <w:lastRenderedPageBreak/>
        <w:t>T</w:t>
      </w:r>
      <w:r w:rsidR="00530628" w:rsidRPr="002E31B8">
        <w:rPr>
          <w:rFonts w:ascii="Times New Roman" w:hAnsi="Times New Roman" w:cs="Times New Roman"/>
          <w:b/>
          <w:sz w:val="24"/>
          <w:szCs w:val="24"/>
        </w:rPr>
        <w:t>ÜRK SANAYİ SEKTÖRÜNÜN AB MEVZUATINA UYUMU</w:t>
      </w:r>
    </w:p>
    <w:p w:rsidR="00530628" w:rsidRPr="00A77E90" w:rsidRDefault="00530628" w:rsidP="00530628">
      <w:pPr>
        <w:jc w:val="both"/>
        <w:rPr>
          <w:rFonts w:ascii="Times New Roman" w:hAnsi="Times New Roman" w:cs="Times New Roman"/>
          <w:sz w:val="24"/>
          <w:szCs w:val="24"/>
        </w:rPr>
      </w:pPr>
      <w:r w:rsidRPr="00A77E90">
        <w:rPr>
          <w:rFonts w:ascii="Times New Roman" w:hAnsi="Times New Roman" w:cs="Times New Roman"/>
          <w:sz w:val="24"/>
          <w:szCs w:val="24"/>
        </w:rPr>
        <w:t>Avrupa Birliği politikaları içinde çevre sorunları özel bir yer tutmaktadır. Avrupa Birliği Müktesabatı’nın Çevre Başlığı; hem özel sektörde hem de kamu sektöründeki kuruluşları ilgilendiren, aynı zamanda da hem kapsamı hem de yüksek uyum maliyeti nedeni ile zorlayıcı bir sektördür. Bu nedenle; yasal, kurumsal ve finansal açıdan gerekli düzenlemelerin ve planların sistemli bir şekilde yapılması gerekmektedir.</w:t>
      </w:r>
    </w:p>
    <w:p w:rsidR="00530628" w:rsidRPr="00A77E90" w:rsidRDefault="00530628" w:rsidP="00530628">
      <w:pPr>
        <w:jc w:val="both"/>
        <w:rPr>
          <w:rFonts w:ascii="Times New Roman" w:hAnsi="Times New Roman" w:cs="Times New Roman"/>
          <w:sz w:val="24"/>
          <w:szCs w:val="24"/>
        </w:rPr>
      </w:pPr>
      <w:r w:rsidRPr="00A77E90">
        <w:rPr>
          <w:rFonts w:ascii="Times New Roman" w:hAnsi="Times New Roman" w:cs="Times New Roman"/>
          <w:sz w:val="24"/>
          <w:szCs w:val="24"/>
        </w:rPr>
        <w:t xml:space="preserve">Topluluğun Çevre Mevzuatı: </w:t>
      </w:r>
    </w:p>
    <w:p w:rsidR="00530628" w:rsidRPr="00A77E90" w:rsidRDefault="00530628" w:rsidP="00530628">
      <w:pPr>
        <w:pStyle w:val="ListeParagraf"/>
        <w:numPr>
          <w:ilvl w:val="0"/>
          <w:numId w:val="5"/>
        </w:numPr>
        <w:jc w:val="both"/>
        <w:rPr>
          <w:rFonts w:ascii="Times New Roman" w:hAnsi="Times New Roman" w:cs="Times New Roman"/>
          <w:sz w:val="24"/>
          <w:szCs w:val="24"/>
        </w:rPr>
      </w:pPr>
      <w:r w:rsidRPr="00A77E90">
        <w:rPr>
          <w:rFonts w:ascii="Times New Roman" w:hAnsi="Times New Roman" w:cs="Times New Roman"/>
          <w:sz w:val="24"/>
          <w:szCs w:val="24"/>
        </w:rPr>
        <w:t xml:space="preserve">Yatay mevzuat (ÇED, çevresel bilgiye erişim, iklim değişikliği), </w:t>
      </w:r>
    </w:p>
    <w:p w:rsidR="00530628" w:rsidRPr="00A77E90" w:rsidRDefault="00530628" w:rsidP="00530628">
      <w:pPr>
        <w:pStyle w:val="ListeParagraf"/>
        <w:numPr>
          <w:ilvl w:val="0"/>
          <w:numId w:val="5"/>
        </w:numPr>
        <w:jc w:val="both"/>
        <w:rPr>
          <w:rFonts w:ascii="Times New Roman" w:hAnsi="Times New Roman" w:cs="Times New Roman"/>
          <w:sz w:val="24"/>
          <w:szCs w:val="24"/>
        </w:rPr>
      </w:pPr>
      <w:r w:rsidRPr="00A77E90">
        <w:rPr>
          <w:rFonts w:ascii="Times New Roman" w:hAnsi="Times New Roman" w:cs="Times New Roman"/>
          <w:sz w:val="24"/>
          <w:szCs w:val="24"/>
        </w:rPr>
        <w:t xml:space="preserve">Hava kalitesi, </w:t>
      </w:r>
    </w:p>
    <w:p w:rsidR="00530628" w:rsidRPr="00A77E90" w:rsidRDefault="00530628" w:rsidP="00530628">
      <w:pPr>
        <w:pStyle w:val="ListeParagraf"/>
        <w:numPr>
          <w:ilvl w:val="0"/>
          <w:numId w:val="5"/>
        </w:numPr>
        <w:jc w:val="both"/>
        <w:rPr>
          <w:rFonts w:ascii="Times New Roman" w:hAnsi="Times New Roman" w:cs="Times New Roman"/>
          <w:sz w:val="24"/>
          <w:szCs w:val="24"/>
        </w:rPr>
      </w:pPr>
      <w:r w:rsidRPr="00A77E90">
        <w:rPr>
          <w:rFonts w:ascii="Times New Roman" w:hAnsi="Times New Roman" w:cs="Times New Roman"/>
          <w:sz w:val="24"/>
          <w:szCs w:val="24"/>
        </w:rPr>
        <w:t xml:space="preserve">Su kalitesi, </w:t>
      </w:r>
    </w:p>
    <w:p w:rsidR="00530628" w:rsidRPr="00A77E90" w:rsidRDefault="00530628" w:rsidP="00530628">
      <w:pPr>
        <w:pStyle w:val="ListeParagraf"/>
        <w:numPr>
          <w:ilvl w:val="0"/>
          <w:numId w:val="5"/>
        </w:numPr>
        <w:jc w:val="both"/>
        <w:rPr>
          <w:rFonts w:ascii="Times New Roman" w:hAnsi="Times New Roman" w:cs="Times New Roman"/>
          <w:sz w:val="24"/>
          <w:szCs w:val="24"/>
        </w:rPr>
      </w:pPr>
      <w:r w:rsidRPr="00A77E90">
        <w:rPr>
          <w:rFonts w:ascii="Times New Roman" w:hAnsi="Times New Roman" w:cs="Times New Roman"/>
          <w:sz w:val="24"/>
          <w:szCs w:val="24"/>
        </w:rPr>
        <w:t xml:space="preserve">Atık yönetimi, </w:t>
      </w:r>
    </w:p>
    <w:p w:rsidR="00530628" w:rsidRPr="00A77E90" w:rsidRDefault="00530628" w:rsidP="00530628">
      <w:pPr>
        <w:pStyle w:val="ListeParagraf"/>
        <w:numPr>
          <w:ilvl w:val="0"/>
          <w:numId w:val="5"/>
        </w:numPr>
        <w:jc w:val="both"/>
        <w:rPr>
          <w:rFonts w:ascii="Times New Roman" w:hAnsi="Times New Roman" w:cs="Times New Roman"/>
          <w:sz w:val="24"/>
          <w:szCs w:val="24"/>
        </w:rPr>
      </w:pPr>
      <w:r w:rsidRPr="00A77E90">
        <w:rPr>
          <w:rFonts w:ascii="Times New Roman" w:hAnsi="Times New Roman" w:cs="Times New Roman"/>
          <w:sz w:val="24"/>
          <w:szCs w:val="24"/>
        </w:rPr>
        <w:t xml:space="preserve">Doğa koruma, </w:t>
      </w:r>
    </w:p>
    <w:p w:rsidR="00530628" w:rsidRPr="00A77E90" w:rsidRDefault="00530628" w:rsidP="00530628">
      <w:pPr>
        <w:pStyle w:val="ListeParagraf"/>
        <w:numPr>
          <w:ilvl w:val="0"/>
          <w:numId w:val="5"/>
        </w:numPr>
        <w:jc w:val="both"/>
        <w:rPr>
          <w:rFonts w:ascii="Times New Roman" w:hAnsi="Times New Roman" w:cs="Times New Roman"/>
          <w:sz w:val="24"/>
          <w:szCs w:val="24"/>
        </w:rPr>
      </w:pPr>
      <w:r w:rsidRPr="00A77E90">
        <w:rPr>
          <w:rFonts w:ascii="Times New Roman" w:hAnsi="Times New Roman" w:cs="Times New Roman"/>
          <w:sz w:val="24"/>
          <w:szCs w:val="24"/>
        </w:rPr>
        <w:t xml:space="preserve">Kimyasallar yönetimi </w:t>
      </w:r>
    </w:p>
    <w:p w:rsidR="00530628" w:rsidRPr="00A77E90" w:rsidRDefault="00530628" w:rsidP="00530628">
      <w:pPr>
        <w:pStyle w:val="ListeParagraf"/>
        <w:numPr>
          <w:ilvl w:val="0"/>
          <w:numId w:val="5"/>
        </w:numPr>
        <w:jc w:val="both"/>
        <w:rPr>
          <w:rFonts w:ascii="Times New Roman" w:hAnsi="Times New Roman" w:cs="Times New Roman"/>
          <w:sz w:val="24"/>
          <w:szCs w:val="24"/>
        </w:rPr>
      </w:pPr>
      <w:r w:rsidRPr="00A77E90">
        <w:rPr>
          <w:rFonts w:ascii="Times New Roman" w:hAnsi="Times New Roman" w:cs="Times New Roman"/>
          <w:sz w:val="24"/>
          <w:szCs w:val="24"/>
        </w:rPr>
        <w:t xml:space="preserve">Endüstriyel kirlilik kontrolü ve risk yönetimi, </w:t>
      </w:r>
    </w:p>
    <w:p w:rsidR="00530628" w:rsidRPr="00A77E90" w:rsidRDefault="00530628" w:rsidP="00530628">
      <w:pPr>
        <w:pStyle w:val="ListeParagraf"/>
        <w:numPr>
          <w:ilvl w:val="0"/>
          <w:numId w:val="5"/>
        </w:numPr>
        <w:jc w:val="both"/>
        <w:rPr>
          <w:rFonts w:ascii="Times New Roman" w:hAnsi="Times New Roman" w:cs="Times New Roman"/>
          <w:sz w:val="24"/>
          <w:szCs w:val="24"/>
        </w:rPr>
      </w:pPr>
      <w:r w:rsidRPr="00A77E90">
        <w:rPr>
          <w:rFonts w:ascii="Times New Roman" w:hAnsi="Times New Roman" w:cs="Times New Roman"/>
          <w:sz w:val="24"/>
          <w:szCs w:val="24"/>
        </w:rPr>
        <w:t xml:space="preserve">Gürültü yönetimi başlıklarından oluşmaktadır. </w:t>
      </w:r>
    </w:p>
    <w:p w:rsidR="00530628" w:rsidRPr="00A77E90" w:rsidRDefault="00530628" w:rsidP="00530628">
      <w:pPr>
        <w:jc w:val="both"/>
        <w:rPr>
          <w:rFonts w:ascii="Times New Roman" w:hAnsi="Times New Roman" w:cs="Times New Roman"/>
          <w:sz w:val="24"/>
          <w:szCs w:val="24"/>
        </w:rPr>
      </w:pPr>
      <w:r w:rsidRPr="00A77E90">
        <w:rPr>
          <w:rFonts w:ascii="Times New Roman" w:hAnsi="Times New Roman" w:cs="Times New Roman"/>
          <w:sz w:val="24"/>
          <w:szCs w:val="24"/>
        </w:rPr>
        <w:t>Topluluk Müktesebatına uyum, birçok sektör için önemli yatırımlarda (teknolojik, altyapı yatırımları, işletme maliyetleri ve kurumsal yapılanmada yönetimsel değişikliklerden doğan maliyetler) bulunulmasını gerektirecektir.</w:t>
      </w:r>
    </w:p>
    <w:p w:rsidR="00530628" w:rsidRPr="00A77E90" w:rsidRDefault="00174F34" w:rsidP="00530628">
      <w:pPr>
        <w:jc w:val="both"/>
        <w:rPr>
          <w:rFonts w:ascii="Times New Roman" w:hAnsi="Times New Roman" w:cs="Times New Roman"/>
          <w:b/>
          <w:sz w:val="24"/>
          <w:szCs w:val="24"/>
        </w:rPr>
      </w:pPr>
      <w:r>
        <w:rPr>
          <w:rFonts w:ascii="Times New Roman" w:hAnsi="Times New Roman" w:cs="Times New Roman"/>
          <w:b/>
          <w:sz w:val="24"/>
          <w:szCs w:val="24"/>
        </w:rPr>
        <w:t xml:space="preserve">1- </w:t>
      </w:r>
      <w:r w:rsidR="00530628" w:rsidRPr="00A77E90">
        <w:rPr>
          <w:rFonts w:ascii="Times New Roman" w:hAnsi="Times New Roman" w:cs="Times New Roman"/>
          <w:b/>
          <w:sz w:val="24"/>
          <w:szCs w:val="24"/>
        </w:rPr>
        <w:t>Çevre Yönetimi’nde AB Süreci</w:t>
      </w:r>
    </w:p>
    <w:p w:rsidR="00530628" w:rsidRPr="00A77E90" w:rsidRDefault="00530628" w:rsidP="00530628">
      <w:pPr>
        <w:jc w:val="both"/>
        <w:rPr>
          <w:rFonts w:ascii="Times New Roman" w:hAnsi="Times New Roman" w:cs="Times New Roman"/>
          <w:sz w:val="24"/>
          <w:szCs w:val="24"/>
        </w:rPr>
      </w:pPr>
      <w:r w:rsidRPr="00A77E90">
        <w:rPr>
          <w:rFonts w:ascii="Times New Roman" w:hAnsi="Times New Roman" w:cs="Times New Roman"/>
          <w:sz w:val="24"/>
          <w:szCs w:val="24"/>
        </w:rPr>
        <w:t>Türkiye’de Çevre Yönetiminin en önemli önceliklerinden birini Avrupa Birliği (AB) çevre müktesebatının ulusal çevre mevzuatına aktarılması ve uygulamaların bu doğrultuda geliştirilmesi oluşturmaktadır. Aralık 1999’da gerçekleşen Helsinki Zirvesi’nde Türkiye’ye resmi olarak aday ülke statüsü verilmiş ve böylece AB müktesebatına uyum süreci başlamıştır.</w:t>
      </w:r>
    </w:p>
    <w:p w:rsidR="00530628" w:rsidRPr="00A77E90" w:rsidRDefault="00530628" w:rsidP="00530628">
      <w:pPr>
        <w:jc w:val="both"/>
        <w:rPr>
          <w:rFonts w:ascii="Times New Roman" w:hAnsi="Times New Roman" w:cs="Times New Roman"/>
          <w:sz w:val="24"/>
          <w:szCs w:val="24"/>
        </w:rPr>
      </w:pPr>
      <w:r w:rsidRPr="00A77E90">
        <w:rPr>
          <w:rFonts w:ascii="Times New Roman" w:hAnsi="Times New Roman" w:cs="Times New Roman"/>
          <w:sz w:val="24"/>
          <w:szCs w:val="24"/>
        </w:rPr>
        <w:t>Çevre faslı tarama toplantıları 2006 yılında tamamlanmış olup, toplantı raporunda yer alan açılış kriterleri kapsamında 69 adet AB mevzuatı için 400 sayfalık Strateji belgesi hazırlanmıştır. Strateji belgesi, atık yönetimi başlığını da kapsayan 9 sektörü içermektedir.</w:t>
      </w:r>
    </w:p>
    <w:p w:rsidR="00530628" w:rsidRPr="00A77E90" w:rsidRDefault="00530628" w:rsidP="00530628">
      <w:pPr>
        <w:jc w:val="both"/>
        <w:rPr>
          <w:rFonts w:ascii="Times New Roman" w:hAnsi="Times New Roman" w:cs="Times New Roman"/>
          <w:sz w:val="24"/>
          <w:szCs w:val="24"/>
        </w:rPr>
      </w:pPr>
      <w:r w:rsidRPr="00A77E90">
        <w:rPr>
          <w:rFonts w:ascii="Times New Roman" w:hAnsi="Times New Roman" w:cs="Times New Roman"/>
          <w:sz w:val="24"/>
          <w:szCs w:val="24"/>
        </w:rPr>
        <w:t>Gümrük Birliği kapsamında kalan 5 AB çevre mevzuatı için uygulama notları hazırlanmıştır. Strateji Belgeleri ve Uygulama Notları’nın Avrupa Komisyonu’na sunulmasından sonra 21 Aralık 2009 tarihinde hükümetler arası Katılım Konferansında Çevre Faslı’nın müzakerelere açılması resmen ilan edilmiştir. Çevre faslının geçici olarak müzakerelere kapatılabilmesi için 6 adet kapanış kriteri belirlenmiştir.</w:t>
      </w:r>
    </w:p>
    <w:p w:rsidR="00530628" w:rsidRDefault="00530628" w:rsidP="00530628">
      <w:pPr>
        <w:jc w:val="both"/>
        <w:rPr>
          <w:rFonts w:ascii="Times New Roman" w:hAnsi="Times New Roman" w:cs="Times New Roman"/>
          <w:sz w:val="24"/>
          <w:szCs w:val="24"/>
        </w:rPr>
      </w:pPr>
      <w:r w:rsidRPr="00A77E90">
        <w:rPr>
          <w:rFonts w:ascii="Times New Roman" w:hAnsi="Times New Roman" w:cs="Times New Roman"/>
          <w:sz w:val="24"/>
          <w:szCs w:val="24"/>
        </w:rPr>
        <w:t xml:space="preserve">Diğer taraftan Avrupa Birliği’ne uyum sürecinde yürürlüğe girecek olan yeni yönetmeliklerin uygulanması yüksek maliyetli çevre yatırımları ve altyapı gerektirmektedir.  Çevre ve Şehircilik Bakanlığı koordinasyonunda ilgili kurumların katılımı ile Avrupa Birliği Entegre Çevre Uyum Stratejisi (UÇES) hazırlanmıştır. UÇES ile 8 alt sektör için yasal durum, kurumsal yapı ve maliyet analizi geliştirilmiştir. </w:t>
      </w:r>
    </w:p>
    <w:p w:rsidR="00530628" w:rsidRPr="00A77E90" w:rsidRDefault="00530628" w:rsidP="00530628">
      <w:pPr>
        <w:jc w:val="both"/>
        <w:rPr>
          <w:rFonts w:ascii="Times New Roman" w:hAnsi="Times New Roman" w:cs="Times New Roman"/>
          <w:sz w:val="24"/>
          <w:szCs w:val="24"/>
        </w:rPr>
      </w:pPr>
      <w:r w:rsidRPr="00A77E90">
        <w:rPr>
          <w:rFonts w:ascii="Times New Roman" w:hAnsi="Times New Roman" w:cs="Times New Roman"/>
          <w:sz w:val="24"/>
          <w:szCs w:val="24"/>
        </w:rPr>
        <w:lastRenderedPageBreak/>
        <w:t>Ulusal Çevre Stratejisi (UÇES) dokümanı Türkiye’nin, AB’ye gir</w:t>
      </w:r>
      <w:r w:rsidR="004D2DE0">
        <w:rPr>
          <w:rFonts w:ascii="Times New Roman" w:hAnsi="Times New Roman" w:cs="Times New Roman"/>
          <w:sz w:val="24"/>
          <w:szCs w:val="24"/>
        </w:rPr>
        <w:t>işi için bir ön koşul olan, AB Ç</w:t>
      </w:r>
      <w:r w:rsidRPr="00A77E90">
        <w:rPr>
          <w:rFonts w:ascii="Times New Roman" w:hAnsi="Times New Roman" w:cs="Times New Roman"/>
          <w:sz w:val="24"/>
          <w:szCs w:val="24"/>
        </w:rPr>
        <w:t xml:space="preserve">evre Müktesebatına uyum sağlaması ve mevzuatın etkin bir şekilde uygulanması amacıyla tam uyumun </w:t>
      </w:r>
      <w:r w:rsidR="004D2DE0">
        <w:rPr>
          <w:rFonts w:ascii="Times New Roman" w:hAnsi="Times New Roman" w:cs="Times New Roman"/>
          <w:sz w:val="24"/>
          <w:szCs w:val="24"/>
        </w:rPr>
        <w:t>s</w:t>
      </w:r>
      <w:r w:rsidRPr="00A77E90">
        <w:rPr>
          <w:rFonts w:ascii="Times New Roman" w:hAnsi="Times New Roman" w:cs="Times New Roman"/>
          <w:sz w:val="24"/>
          <w:szCs w:val="24"/>
        </w:rPr>
        <w:t xml:space="preserve">ağlanması için ihtiyaç duyulacak teknik ve kurumsal altyapı, gerçekleştirilmesi zorunlu çevresel </w:t>
      </w:r>
      <w:r w:rsidR="004D2DE0">
        <w:rPr>
          <w:rFonts w:ascii="Times New Roman" w:hAnsi="Times New Roman" w:cs="Times New Roman"/>
          <w:sz w:val="24"/>
          <w:szCs w:val="24"/>
        </w:rPr>
        <w:t>i</w:t>
      </w:r>
      <w:r w:rsidRPr="00A77E90">
        <w:rPr>
          <w:rFonts w:ascii="Times New Roman" w:hAnsi="Times New Roman" w:cs="Times New Roman"/>
          <w:sz w:val="24"/>
          <w:szCs w:val="24"/>
        </w:rPr>
        <w:t>yileştirmeler ve düzenlemelerin neler olacağına ili</w:t>
      </w:r>
      <w:r w:rsidR="004D2DE0">
        <w:rPr>
          <w:rFonts w:ascii="Times New Roman" w:hAnsi="Times New Roman" w:cs="Times New Roman"/>
          <w:sz w:val="24"/>
          <w:szCs w:val="24"/>
        </w:rPr>
        <w:t>şk</w:t>
      </w:r>
      <w:r w:rsidRPr="00A77E90">
        <w:rPr>
          <w:rFonts w:ascii="Times New Roman" w:hAnsi="Times New Roman" w:cs="Times New Roman"/>
          <w:sz w:val="24"/>
          <w:szCs w:val="24"/>
        </w:rPr>
        <w:t>in detaylı bilgileri içermektedir. Bu bilgilerin tam olarak sunulabilmesi için öncelikle ülkenin çevre sorunlarına ilişkin mevcut durumu, mevzuat ve teşkilat yapısı, çevre sorunlarıyla mücadele konusunda bugüne kadar izlenen politika, yapılan harcamalar ile çevre sorunlarıyla mücadelede karşılaşılan sıkıntı ve dar</w:t>
      </w:r>
      <w:r w:rsidR="008E7EB1">
        <w:rPr>
          <w:rFonts w:ascii="Times New Roman" w:hAnsi="Times New Roman" w:cs="Times New Roman"/>
          <w:sz w:val="24"/>
          <w:szCs w:val="24"/>
        </w:rPr>
        <w:t xml:space="preserve"> </w:t>
      </w:r>
      <w:r w:rsidRPr="00A77E90">
        <w:rPr>
          <w:rFonts w:ascii="Times New Roman" w:hAnsi="Times New Roman" w:cs="Times New Roman"/>
          <w:sz w:val="24"/>
          <w:szCs w:val="24"/>
        </w:rPr>
        <w:t>boğazlar tespit edilmiştir. Sonrasında ise Türkiye’nin öncelik verilen çevresel alanlar ile bu alanlardaki amaçlar, hedefler, stratejiler ve bunlarla ilgili yapılacak faaliyetler belirlenmiştir.</w:t>
      </w:r>
    </w:p>
    <w:p w:rsidR="00530628" w:rsidRPr="00A77E90" w:rsidRDefault="00530628" w:rsidP="00530628">
      <w:pPr>
        <w:jc w:val="both"/>
        <w:rPr>
          <w:rFonts w:ascii="Times New Roman" w:hAnsi="Times New Roman" w:cs="Times New Roman"/>
          <w:sz w:val="24"/>
          <w:szCs w:val="24"/>
        </w:rPr>
      </w:pPr>
      <w:r w:rsidRPr="00A77E90">
        <w:rPr>
          <w:rFonts w:ascii="Times New Roman" w:hAnsi="Times New Roman" w:cs="Times New Roman"/>
          <w:sz w:val="24"/>
          <w:szCs w:val="24"/>
        </w:rPr>
        <w:t xml:space="preserve">Avrupa Birliği’ne üyelik sürecinde Avrupa Birliği Müktesebatına uyumun sağlanması için aşağıdaki belirtilen hususların gerçekleştirilmesi için çalışmalar yürütülmektedir: </w:t>
      </w:r>
    </w:p>
    <w:p w:rsidR="00530628" w:rsidRPr="00A77E90" w:rsidRDefault="00530628" w:rsidP="00530628">
      <w:pPr>
        <w:pStyle w:val="ListeParagraf"/>
        <w:numPr>
          <w:ilvl w:val="0"/>
          <w:numId w:val="5"/>
        </w:numPr>
        <w:jc w:val="both"/>
        <w:rPr>
          <w:rFonts w:ascii="Times New Roman" w:hAnsi="Times New Roman" w:cs="Times New Roman"/>
          <w:sz w:val="24"/>
          <w:szCs w:val="24"/>
        </w:rPr>
      </w:pPr>
      <w:r w:rsidRPr="008E7EB1">
        <w:rPr>
          <w:rFonts w:ascii="Times New Roman" w:hAnsi="Times New Roman" w:cs="Times New Roman"/>
          <w:b/>
          <w:sz w:val="24"/>
          <w:szCs w:val="24"/>
        </w:rPr>
        <w:t>Mevzuat Uyumu:</w:t>
      </w:r>
      <w:r w:rsidRPr="00A77E90">
        <w:rPr>
          <w:rFonts w:ascii="Times New Roman" w:hAnsi="Times New Roman" w:cs="Times New Roman"/>
          <w:sz w:val="24"/>
          <w:szCs w:val="24"/>
        </w:rPr>
        <w:t xml:space="preserve"> Ulusal Mevzuatın ve Avrupa Birliği Müktesebatının gerekleri arasında uyumsuzluk giderilecektir. </w:t>
      </w:r>
    </w:p>
    <w:p w:rsidR="00530628" w:rsidRPr="00A77E90" w:rsidRDefault="00530628" w:rsidP="00530628">
      <w:pPr>
        <w:pStyle w:val="ListeParagraf"/>
        <w:numPr>
          <w:ilvl w:val="0"/>
          <w:numId w:val="5"/>
        </w:numPr>
        <w:jc w:val="both"/>
        <w:rPr>
          <w:rFonts w:ascii="Times New Roman" w:hAnsi="Times New Roman" w:cs="Times New Roman"/>
          <w:sz w:val="24"/>
          <w:szCs w:val="24"/>
        </w:rPr>
      </w:pPr>
      <w:r w:rsidRPr="008E7EB1">
        <w:rPr>
          <w:rFonts w:ascii="Times New Roman" w:hAnsi="Times New Roman" w:cs="Times New Roman"/>
          <w:b/>
          <w:sz w:val="24"/>
          <w:szCs w:val="24"/>
        </w:rPr>
        <w:t>Uygulama:</w:t>
      </w:r>
      <w:r w:rsidRPr="00A77E90">
        <w:rPr>
          <w:rFonts w:ascii="Times New Roman" w:hAnsi="Times New Roman" w:cs="Times New Roman"/>
          <w:sz w:val="24"/>
          <w:szCs w:val="24"/>
        </w:rPr>
        <w:t xml:space="preserve"> Avrupa Birliği Müktesebatının uyumlaştırılmasının ardından çevre altyapısı ve sanayi üretiminde çevreye duyarlı modern teknolojilerin kullanılması yolu ile tam uyumlaştırma için adımlar atılacaktır. </w:t>
      </w:r>
    </w:p>
    <w:p w:rsidR="00530628" w:rsidRPr="00A77E90" w:rsidRDefault="00530628" w:rsidP="00530628">
      <w:pPr>
        <w:pStyle w:val="ListeParagraf"/>
        <w:jc w:val="both"/>
        <w:rPr>
          <w:rFonts w:ascii="Times New Roman" w:hAnsi="Times New Roman" w:cs="Times New Roman"/>
          <w:sz w:val="24"/>
          <w:szCs w:val="24"/>
        </w:rPr>
      </w:pPr>
      <w:r w:rsidRPr="00A77E90">
        <w:rPr>
          <w:rFonts w:ascii="Times New Roman" w:hAnsi="Times New Roman" w:cs="Times New Roman"/>
          <w:sz w:val="24"/>
          <w:szCs w:val="24"/>
        </w:rPr>
        <w:t xml:space="preserve">Avrupa Birliği Müktesebatının gereklerinin yürürlükte bulunan ulusal yasalara tamamıyla yansıtılmasının yanı sıra, ulusal yasaların yönetilmesi, etkin veya pratik uygulama için yeterli bütçeleri olan uygun kurumsal yapıların oluşturulması ve kanunlara tam uyumun sağlanması amacıyla gerekli kontrol ve cezai müeyyidelerin uygulamaya konulması da sağlanacaktır. </w:t>
      </w:r>
    </w:p>
    <w:p w:rsidR="00530628" w:rsidRPr="00A77E90" w:rsidRDefault="00530628" w:rsidP="00530628">
      <w:pPr>
        <w:pStyle w:val="ListeParagraf"/>
        <w:numPr>
          <w:ilvl w:val="0"/>
          <w:numId w:val="5"/>
        </w:numPr>
        <w:jc w:val="both"/>
        <w:rPr>
          <w:rFonts w:ascii="Times New Roman" w:hAnsi="Times New Roman" w:cs="Times New Roman"/>
          <w:sz w:val="24"/>
          <w:szCs w:val="24"/>
        </w:rPr>
      </w:pPr>
      <w:r w:rsidRPr="008E7EB1">
        <w:rPr>
          <w:rFonts w:ascii="Times New Roman" w:hAnsi="Times New Roman" w:cs="Times New Roman"/>
          <w:b/>
          <w:sz w:val="24"/>
          <w:szCs w:val="24"/>
        </w:rPr>
        <w:t>Yatırım:</w:t>
      </w:r>
      <w:r w:rsidRPr="00A77E90">
        <w:rPr>
          <w:rFonts w:ascii="Times New Roman" w:hAnsi="Times New Roman" w:cs="Times New Roman"/>
          <w:sz w:val="24"/>
          <w:szCs w:val="24"/>
        </w:rPr>
        <w:t xml:space="preserve"> Etkin uygulamanın sağlanması için yatırımların finansmanı dahil olmak üzere tam uyum ile ilgili gerekli önlemler hayata geçirilecektir. </w:t>
      </w:r>
    </w:p>
    <w:p w:rsidR="00530628" w:rsidRPr="00A77E90" w:rsidRDefault="00530628" w:rsidP="00530628">
      <w:pPr>
        <w:jc w:val="both"/>
        <w:rPr>
          <w:rFonts w:ascii="Times New Roman" w:hAnsi="Times New Roman" w:cs="Times New Roman"/>
          <w:sz w:val="24"/>
          <w:szCs w:val="24"/>
        </w:rPr>
      </w:pPr>
      <w:r w:rsidRPr="00A77E90">
        <w:rPr>
          <w:rFonts w:ascii="Times New Roman" w:hAnsi="Times New Roman" w:cs="Times New Roman"/>
          <w:sz w:val="24"/>
          <w:szCs w:val="24"/>
        </w:rPr>
        <w:t xml:space="preserve">Hem ulusal bütçeden hem de Avrupa Birliği hibe fonlarından desteklenen ve Çevre ve Şehircilik Bakanlığı koordinasyonunda; mevzuat uyumu, kapasite geliştirme ve altyapı yatırımları için çok sayıda proje yürütülmektedir. </w:t>
      </w:r>
    </w:p>
    <w:p w:rsidR="00530628" w:rsidRDefault="00530628" w:rsidP="00530628">
      <w:pPr>
        <w:jc w:val="both"/>
        <w:rPr>
          <w:rFonts w:ascii="Times New Roman" w:hAnsi="Times New Roman" w:cs="Times New Roman"/>
          <w:sz w:val="24"/>
          <w:szCs w:val="24"/>
        </w:rPr>
      </w:pPr>
      <w:r w:rsidRPr="00A77E90">
        <w:rPr>
          <w:rFonts w:ascii="Times New Roman" w:hAnsi="Times New Roman" w:cs="Times New Roman"/>
          <w:sz w:val="24"/>
          <w:szCs w:val="24"/>
        </w:rPr>
        <w:t xml:space="preserve">Çevre Faslının üyelik müzakerelerine açılması ve Topluluk Müktesebatına uyum sağlanması çalışmaları ile halkımızın yaşam kalitesinin artırılması yönünde önemli adımlar atılmaya başlanmıştır. </w:t>
      </w:r>
    </w:p>
    <w:p w:rsidR="00530628" w:rsidRDefault="00530628" w:rsidP="00530628">
      <w:pPr>
        <w:jc w:val="both"/>
        <w:rPr>
          <w:rFonts w:ascii="Times New Roman" w:hAnsi="Times New Roman" w:cs="Times New Roman"/>
          <w:sz w:val="24"/>
          <w:szCs w:val="24"/>
        </w:rPr>
      </w:pPr>
      <w:r w:rsidRPr="00A77E90">
        <w:rPr>
          <w:rFonts w:ascii="Times New Roman" w:hAnsi="Times New Roman" w:cs="Times New Roman"/>
          <w:sz w:val="24"/>
          <w:szCs w:val="24"/>
        </w:rPr>
        <w:t xml:space="preserve">“27 No’lu Çevre Faslı” başlığı kapsamında yer alan Topluluk Müktesebatının üstlenilmesi sürecinde Türkiye, Avrupa Birliği Çevre Müktesebatının tümünün uyumlaştırılmasından ve uygulanmasından sorumludur. Müzakere edilecek tek husus ise uygulama takvimi ve geçiş süreleridir. </w:t>
      </w:r>
    </w:p>
    <w:p w:rsidR="00530628" w:rsidRPr="00A77E90" w:rsidRDefault="007C761E" w:rsidP="00530628">
      <w:pPr>
        <w:jc w:val="both"/>
        <w:rPr>
          <w:rFonts w:ascii="Times New Roman" w:hAnsi="Times New Roman" w:cs="Times New Roman"/>
          <w:b/>
          <w:sz w:val="24"/>
          <w:szCs w:val="24"/>
        </w:rPr>
      </w:pPr>
      <w:r>
        <w:rPr>
          <w:rFonts w:ascii="Times New Roman" w:hAnsi="Times New Roman" w:cs="Times New Roman"/>
          <w:b/>
          <w:sz w:val="24"/>
          <w:szCs w:val="24"/>
        </w:rPr>
        <w:t xml:space="preserve">2- </w:t>
      </w:r>
      <w:r w:rsidR="00530628" w:rsidRPr="00A77E90">
        <w:rPr>
          <w:rFonts w:ascii="Times New Roman" w:hAnsi="Times New Roman" w:cs="Times New Roman"/>
          <w:b/>
          <w:sz w:val="24"/>
          <w:szCs w:val="24"/>
        </w:rPr>
        <w:t>Türkiye Avrupa Birliği Çevre Mevzuatı İlişkileri</w:t>
      </w:r>
    </w:p>
    <w:p w:rsidR="00DB2F00" w:rsidRDefault="00530628" w:rsidP="00530628">
      <w:pPr>
        <w:jc w:val="both"/>
        <w:rPr>
          <w:rFonts w:ascii="Times New Roman" w:hAnsi="Times New Roman" w:cs="Times New Roman"/>
          <w:sz w:val="24"/>
          <w:szCs w:val="24"/>
        </w:rPr>
      </w:pPr>
      <w:r w:rsidRPr="00A77E90">
        <w:rPr>
          <w:rFonts w:ascii="Times New Roman" w:hAnsi="Times New Roman" w:cs="Times New Roman"/>
          <w:sz w:val="24"/>
          <w:szCs w:val="24"/>
        </w:rPr>
        <w:t xml:space="preserve">1999 yılı Helsinki Zirvesi’nde Avrupa Birliği’ne adaylığının tescilinden sonra, ilk adım olarak Türkiye ile Avrupa Birliği arasında Katılım Ortaklığı Belgesi (KOB) 8 Kasım 2000 tarihinde kabul edilmiştir. Türkiye’nin kısa ve orta vadede gerçekleştirmesi gereken önceliklerini ve katılım hazırlıklarının koşullarını ortaya koyan KOB’nin ardından Türkiye tarafından </w:t>
      </w:r>
      <w:r w:rsidRPr="00A77E90">
        <w:rPr>
          <w:rFonts w:ascii="Times New Roman" w:hAnsi="Times New Roman" w:cs="Times New Roman"/>
          <w:sz w:val="24"/>
          <w:szCs w:val="24"/>
        </w:rPr>
        <w:lastRenderedPageBreak/>
        <w:t>hazırlanan ve 19 Mart 2001 tarihinde AB Müktesabatının Üstlenilmesine İlişkin Ulusal Program kabul edilerek diğer sektörler ile birlikte çevre alanında da uyumlaştırma çalışmalarına başlanmıştır.</w:t>
      </w:r>
      <w:r w:rsidR="00BD4702">
        <w:rPr>
          <w:rFonts w:ascii="Times New Roman" w:hAnsi="Times New Roman" w:cs="Times New Roman"/>
          <w:sz w:val="24"/>
          <w:szCs w:val="24"/>
        </w:rPr>
        <w:t xml:space="preserve"> </w:t>
      </w:r>
      <w:r w:rsidRPr="00A77E90">
        <w:rPr>
          <w:rFonts w:ascii="Times New Roman" w:hAnsi="Times New Roman" w:cs="Times New Roman"/>
          <w:sz w:val="24"/>
          <w:szCs w:val="24"/>
        </w:rPr>
        <w:t>Katılım Ortaklığı Belgesi çerçevesinde çevre alanında kısa ve orta vadeli öncelikler şu şekilde belirlenmiştir;</w:t>
      </w:r>
    </w:p>
    <w:p w:rsidR="00530628" w:rsidRPr="00A77E90" w:rsidRDefault="00530628" w:rsidP="00530628">
      <w:pPr>
        <w:jc w:val="both"/>
        <w:rPr>
          <w:rFonts w:ascii="Times New Roman" w:hAnsi="Times New Roman" w:cs="Times New Roman"/>
          <w:b/>
          <w:sz w:val="24"/>
          <w:szCs w:val="24"/>
        </w:rPr>
      </w:pPr>
      <w:r w:rsidRPr="00A77E90">
        <w:rPr>
          <w:rFonts w:ascii="Times New Roman" w:hAnsi="Times New Roman" w:cs="Times New Roman"/>
          <w:b/>
          <w:sz w:val="24"/>
          <w:szCs w:val="24"/>
        </w:rPr>
        <w:t>Kısa Vade Öncelikler:</w:t>
      </w:r>
    </w:p>
    <w:p w:rsidR="00530628" w:rsidRPr="00A77E90" w:rsidRDefault="00530628" w:rsidP="00530628">
      <w:pPr>
        <w:pStyle w:val="ListeParagraf"/>
        <w:numPr>
          <w:ilvl w:val="0"/>
          <w:numId w:val="2"/>
        </w:numPr>
        <w:jc w:val="both"/>
        <w:rPr>
          <w:rFonts w:ascii="Times New Roman" w:hAnsi="Times New Roman" w:cs="Times New Roman"/>
          <w:sz w:val="24"/>
          <w:szCs w:val="24"/>
        </w:rPr>
      </w:pPr>
      <w:r w:rsidRPr="00A77E90">
        <w:rPr>
          <w:rFonts w:ascii="Times New Roman" w:hAnsi="Times New Roman" w:cs="Times New Roman"/>
          <w:sz w:val="24"/>
          <w:szCs w:val="24"/>
        </w:rPr>
        <w:t>Müktesebatın iç hukuka aktarılması için bir program kabul edilmesi</w:t>
      </w:r>
    </w:p>
    <w:p w:rsidR="00530628" w:rsidRPr="00A77E90" w:rsidRDefault="00530628" w:rsidP="00530628">
      <w:pPr>
        <w:pStyle w:val="ListeParagraf"/>
        <w:numPr>
          <w:ilvl w:val="0"/>
          <w:numId w:val="2"/>
        </w:numPr>
        <w:jc w:val="both"/>
        <w:rPr>
          <w:rFonts w:ascii="Times New Roman" w:hAnsi="Times New Roman" w:cs="Times New Roman"/>
          <w:sz w:val="24"/>
          <w:szCs w:val="24"/>
        </w:rPr>
      </w:pPr>
      <w:r w:rsidRPr="00A77E90">
        <w:rPr>
          <w:rFonts w:ascii="Times New Roman" w:hAnsi="Times New Roman" w:cs="Times New Roman"/>
          <w:sz w:val="24"/>
          <w:szCs w:val="24"/>
        </w:rPr>
        <w:t>Yatırımların finansmanına yönelik, uyumlaştırma maliyeti tahminlerine, kamu ve özel sektörden sağlanacak gerçekçi finansman kaynaklarına dayalı bir plan geliştirilmesi</w:t>
      </w:r>
    </w:p>
    <w:p w:rsidR="00530628" w:rsidRPr="00A77E90" w:rsidRDefault="00530628" w:rsidP="00530628">
      <w:pPr>
        <w:pStyle w:val="ListeParagraf"/>
        <w:numPr>
          <w:ilvl w:val="0"/>
          <w:numId w:val="2"/>
        </w:numPr>
        <w:jc w:val="both"/>
        <w:rPr>
          <w:rFonts w:ascii="Times New Roman" w:hAnsi="Times New Roman" w:cs="Times New Roman"/>
          <w:sz w:val="24"/>
          <w:szCs w:val="24"/>
        </w:rPr>
      </w:pPr>
      <w:r w:rsidRPr="00A77E90">
        <w:rPr>
          <w:rFonts w:ascii="Times New Roman" w:hAnsi="Times New Roman" w:cs="Times New Roman"/>
          <w:sz w:val="24"/>
          <w:szCs w:val="24"/>
        </w:rPr>
        <w:t>Çerçeve mevzuata, çevre alanındaki uluslar arası sözleşmelere ve doğa koruma, su kalitesi, Entegre Kirlilik Önleme – Kontrol ve atık yönetimi konusundaki düzenlemelere ilişkin müktesebatın iç hukuka aktarılmasına ve uygulanmasına bağlanması,</w:t>
      </w:r>
    </w:p>
    <w:p w:rsidR="00530628" w:rsidRPr="00A77E90" w:rsidRDefault="00530628" w:rsidP="00530628">
      <w:pPr>
        <w:pStyle w:val="ListeParagraf"/>
        <w:numPr>
          <w:ilvl w:val="0"/>
          <w:numId w:val="2"/>
        </w:numPr>
        <w:jc w:val="both"/>
        <w:rPr>
          <w:rFonts w:ascii="Times New Roman" w:hAnsi="Times New Roman" w:cs="Times New Roman"/>
          <w:sz w:val="24"/>
          <w:szCs w:val="24"/>
        </w:rPr>
      </w:pPr>
      <w:r w:rsidRPr="00A77E90">
        <w:rPr>
          <w:rFonts w:ascii="Times New Roman" w:hAnsi="Times New Roman" w:cs="Times New Roman"/>
          <w:sz w:val="24"/>
          <w:szCs w:val="24"/>
        </w:rPr>
        <w:t>Çevresel Etki Değerlendirilmesi direktifinin etkili biçimde uygulanması</w:t>
      </w:r>
    </w:p>
    <w:p w:rsidR="00530628" w:rsidRPr="00A77E90" w:rsidRDefault="00530628" w:rsidP="00530628">
      <w:pPr>
        <w:pStyle w:val="ListeParagraf"/>
        <w:numPr>
          <w:ilvl w:val="0"/>
          <w:numId w:val="3"/>
        </w:numPr>
        <w:jc w:val="both"/>
        <w:rPr>
          <w:rFonts w:ascii="Times New Roman" w:hAnsi="Times New Roman" w:cs="Times New Roman"/>
          <w:sz w:val="24"/>
          <w:szCs w:val="24"/>
        </w:rPr>
      </w:pPr>
      <w:r w:rsidRPr="00A77E90">
        <w:rPr>
          <w:rFonts w:ascii="Times New Roman" w:hAnsi="Times New Roman" w:cs="Times New Roman"/>
          <w:sz w:val="24"/>
          <w:szCs w:val="24"/>
        </w:rPr>
        <w:t>Sınır aşan sulara ilişkin işbirliğinin, su çerçeve direktifi ve AT’nun taraf olduğu uluslararası sözleşmelere uygun olarak geliştirilmesine devam edilmesi.</w:t>
      </w:r>
    </w:p>
    <w:p w:rsidR="00530628" w:rsidRPr="00A77E90" w:rsidRDefault="00530628" w:rsidP="00530628">
      <w:pPr>
        <w:jc w:val="both"/>
        <w:rPr>
          <w:rFonts w:ascii="Times New Roman" w:hAnsi="Times New Roman" w:cs="Times New Roman"/>
          <w:b/>
          <w:sz w:val="24"/>
          <w:szCs w:val="24"/>
        </w:rPr>
      </w:pPr>
      <w:r w:rsidRPr="00A77E90">
        <w:rPr>
          <w:rFonts w:ascii="Times New Roman" w:hAnsi="Times New Roman" w:cs="Times New Roman"/>
          <w:b/>
          <w:sz w:val="24"/>
          <w:szCs w:val="24"/>
        </w:rPr>
        <w:t>Orta Vade Öncelikler:</w:t>
      </w:r>
    </w:p>
    <w:p w:rsidR="00530628" w:rsidRPr="00A77E90" w:rsidRDefault="00530628" w:rsidP="00530628">
      <w:pPr>
        <w:pStyle w:val="ListeParagraf"/>
        <w:numPr>
          <w:ilvl w:val="0"/>
          <w:numId w:val="4"/>
        </w:numPr>
        <w:jc w:val="both"/>
        <w:rPr>
          <w:rFonts w:ascii="Times New Roman" w:hAnsi="Times New Roman" w:cs="Times New Roman"/>
          <w:sz w:val="24"/>
          <w:szCs w:val="24"/>
        </w:rPr>
      </w:pPr>
      <w:r w:rsidRPr="00A77E90">
        <w:rPr>
          <w:rFonts w:ascii="Times New Roman" w:hAnsi="Times New Roman" w:cs="Times New Roman"/>
          <w:sz w:val="24"/>
          <w:szCs w:val="24"/>
        </w:rPr>
        <w:t>Müktesebatın iç hukuka aktarılmasının tamamlanması ve veri toplama da dahil olmak üzere, çevre korumasının sağlanması için kurumsal, idari ve denetim kapasitesinin güçlendirilmesi.</w:t>
      </w:r>
    </w:p>
    <w:p w:rsidR="00530628" w:rsidRPr="00A77E90" w:rsidRDefault="00530628" w:rsidP="00530628">
      <w:pPr>
        <w:jc w:val="both"/>
        <w:rPr>
          <w:rFonts w:ascii="Times New Roman" w:hAnsi="Times New Roman" w:cs="Times New Roman"/>
          <w:sz w:val="24"/>
          <w:szCs w:val="24"/>
        </w:rPr>
      </w:pPr>
      <w:r w:rsidRPr="00A77E90">
        <w:rPr>
          <w:rFonts w:ascii="Times New Roman" w:hAnsi="Times New Roman" w:cs="Times New Roman"/>
          <w:sz w:val="24"/>
          <w:szCs w:val="24"/>
        </w:rPr>
        <w:t>Çevre başlığı altında yer alan Avrupa Birliği direktifleri, gerek 300’ü bulan sayılarının fazlalığı gerekse kapsamlarının genişliği açısından Avrupa Birliği müktesebatının önemli bir bölümünü oluşturmaktadır. Söz konusu direktiflerin, yeni çıkarılacak veya revize edilecek yasa ve yönetmelikler ile Türk Mevzuat Sistemi’ne yansıtılması tam olarak uyumun sağlanması için yeterli olmayacak olup, söz konusu direktiflerin yansıtılmasını müteakip başarılı bir şekilde uygulamaya geçirilmesi de gerekmektedir.</w:t>
      </w:r>
      <w:r w:rsidR="00B67634">
        <w:rPr>
          <w:rFonts w:ascii="Times New Roman" w:hAnsi="Times New Roman" w:cs="Times New Roman"/>
          <w:sz w:val="24"/>
          <w:szCs w:val="24"/>
        </w:rPr>
        <w:t xml:space="preserve"> </w:t>
      </w:r>
      <w:r w:rsidRPr="00A77E90">
        <w:rPr>
          <w:rFonts w:ascii="Times New Roman" w:hAnsi="Times New Roman" w:cs="Times New Roman"/>
          <w:sz w:val="24"/>
          <w:szCs w:val="24"/>
        </w:rPr>
        <w:t>Raporumuzda AB ve Türkiye’deki Çevre Müktesebatı kapsamında değinilecek öncelikli mevzuatlar şu şekildedir;</w:t>
      </w:r>
      <w:r w:rsidR="00DB2F00">
        <w:rPr>
          <w:rFonts w:ascii="Times New Roman" w:hAnsi="Times New Roman" w:cs="Times New Roman"/>
          <w:sz w:val="24"/>
          <w:szCs w:val="24"/>
        </w:rPr>
        <w:t xml:space="preserve"> </w:t>
      </w:r>
    </w:p>
    <w:tbl>
      <w:tblPr>
        <w:tblStyle w:val="TabloKlavuzu"/>
        <w:tblW w:w="9813" w:type="dxa"/>
        <w:tblLook w:val="04A0"/>
      </w:tblPr>
      <w:tblGrid>
        <w:gridCol w:w="9813"/>
      </w:tblGrid>
      <w:tr w:rsidR="00530628" w:rsidRPr="00A77E90" w:rsidTr="00BD4702">
        <w:trPr>
          <w:trHeight w:val="315"/>
        </w:trPr>
        <w:tc>
          <w:tcPr>
            <w:tcW w:w="9813" w:type="dxa"/>
          </w:tcPr>
          <w:p w:rsidR="00530628" w:rsidRPr="00A77E90" w:rsidRDefault="00530628" w:rsidP="00D44220">
            <w:pPr>
              <w:spacing w:line="276" w:lineRule="auto"/>
              <w:jc w:val="both"/>
              <w:rPr>
                <w:rFonts w:ascii="Times New Roman" w:hAnsi="Times New Roman" w:cs="Times New Roman"/>
                <w:sz w:val="24"/>
                <w:szCs w:val="24"/>
              </w:rPr>
            </w:pPr>
            <w:r w:rsidRPr="00A77E90">
              <w:rPr>
                <w:rFonts w:ascii="Times New Roman" w:hAnsi="Times New Roman" w:cs="Times New Roman"/>
                <w:sz w:val="24"/>
                <w:szCs w:val="24"/>
              </w:rPr>
              <w:t>REACH Tüzüğü ( Registration, Evaluation, Authorization of Chemicals)</w:t>
            </w:r>
          </w:p>
        </w:tc>
      </w:tr>
      <w:tr w:rsidR="00530628" w:rsidRPr="00A77E90" w:rsidTr="00BD4702">
        <w:trPr>
          <w:trHeight w:val="315"/>
        </w:trPr>
        <w:tc>
          <w:tcPr>
            <w:tcW w:w="9813" w:type="dxa"/>
          </w:tcPr>
          <w:p w:rsidR="00530628" w:rsidRPr="00A77E90" w:rsidRDefault="00530628" w:rsidP="00D44220">
            <w:pPr>
              <w:spacing w:line="276" w:lineRule="auto"/>
              <w:jc w:val="both"/>
              <w:rPr>
                <w:rFonts w:ascii="Times New Roman" w:hAnsi="Times New Roman" w:cs="Times New Roman"/>
                <w:sz w:val="24"/>
                <w:szCs w:val="24"/>
              </w:rPr>
            </w:pPr>
            <w:r w:rsidRPr="00A77E90">
              <w:rPr>
                <w:rFonts w:ascii="Times New Roman" w:hAnsi="Times New Roman" w:cs="Times New Roman"/>
                <w:sz w:val="24"/>
                <w:szCs w:val="24"/>
              </w:rPr>
              <w:t>CLP Tüzüğü (Classification Labelling and Packaging of Chemicals)</w:t>
            </w:r>
          </w:p>
        </w:tc>
      </w:tr>
      <w:tr w:rsidR="00530628" w:rsidRPr="00A77E90" w:rsidTr="00BD4702">
        <w:trPr>
          <w:trHeight w:val="315"/>
        </w:trPr>
        <w:tc>
          <w:tcPr>
            <w:tcW w:w="9813" w:type="dxa"/>
          </w:tcPr>
          <w:p w:rsidR="00530628" w:rsidRPr="00A77E90" w:rsidRDefault="00530628" w:rsidP="00D44220">
            <w:pPr>
              <w:spacing w:line="276" w:lineRule="auto"/>
              <w:jc w:val="both"/>
              <w:rPr>
                <w:rFonts w:ascii="Times New Roman" w:hAnsi="Times New Roman" w:cs="Times New Roman"/>
                <w:sz w:val="24"/>
                <w:szCs w:val="24"/>
              </w:rPr>
            </w:pPr>
            <w:r w:rsidRPr="00A77E90">
              <w:rPr>
                <w:rFonts w:ascii="Times New Roman" w:hAnsi="Times New Roman" w:cs="Times New Roman"/>
                <w:sz w:val="24"/>
                <w:szCs w:val="24"/>
              </w:rPr>
              <w:t>SEVESO III Direktifi</w:t>
            </w:r>
          </w:p>
        </w:tc>
      </w:tr>
      <w:tr w:rsidR="00530628" w:rsidRPr="00A77E90" w:rsidTr="00BD4702">
        <w:trPr>
          <w:trHeight w:val="315"/>
        </w:trPr>
        <w:tc>
          <w:tcPr>
            <w:tcW w:w="9813" w:type="dxa"/>
          </w:tcPr>
          <w:p w:rsidR="00530628" w:rsidRPr="00A77E90" w:rsidRDefault="00530628" w:rsidP="00D44220">
            <w:pPr>
              <w:spacing w:line="276" w:lineRule="auto"/>
              <w:jc w:val="both"/>
              <w:rPr>
                <w:rFonts w:ascii="Times New Roman" w:hAnsi="Times New Roman" w:cs="Times New Roman"/>
                <w:sz w:val="24"/>
                <w:szCs w:val="24"/>
              </w:rPr>
            </w:pPr>
            <w:r w:rsidRPr="00A77E90">
              <w:rPr>
                <w:rFonts w:ascii="Times New Roman" w:hAnsi="Times New Roman" w:cs="Times New Roman"/>
                <w:sz w:val="24"/>
                <w:szCs w:val="24"/>
              </w:rPr>
              <w:t>Atık Direktifleri (Ulusal Mevzuat, Tebliğler, Genelgeler)</w:t>
            </w:r>
          </w:p>
        </w:tc>
      </w:tr>
      <w:tr w:rsidR="00530628" w:rsidRPr="00A77E90" w:rsidTr="00BD4702">
        <w:trPr>
          <w:trHeight w:val="315"/>
        </w:trPr>
        <w:tc>
          <w:tcPr>
            <w:tcW w:w="9813" w:type="dxa"/>
          </w:tcPr>
          <w:p w:rsidR="00530628" w:rsidRPr="00A77E90" w:rsidRDefault="00530628" w:rsidP="00D44220">
            <w:pPr>
              <w:spacing w:line="276" w:lineRule="auto"/>
              <w:jc w:val="both"/>
              <w:rPr>
                <w:rFonts w:ascii="Times New Roman" w:hAnsi="Times New Roman" w:cs="Times New Roman"/>
                <w:sz w:val="24"/>
                <w:szCs w:val="24"/>
              </w:rPr>
            </w:pPr>
            <w:r w:rsidRPr="00A77E90">
              <w:rPr>
                <w:rFonts w:ascii="Times New Roman" w:hAnsi="Times New Roman" w:cs="Times New Roman"/>
                <w:sz w:val="24"/>
                <w:szCs w:val="24"/>
              </w:rPr>
              <w:t>Büyük Yakma Tesisleri Direktifi</w:t>
            </w:r>
          </w:p>
        </w:tc>
      </w:tr>
      <w:tr w:rsidR="00530628" w:rsidRPr="00A77E90" w:rsidTr="00BD4702">
        <w:trPr>
          <w:trHeight w:val="300"/>
        </w:trPr>
        <w:tc>
          <w:tcPr>
            <w:tcW w:w="9813" w:type="dxa"/>
          </w:tcPr>
          <w:p w:rsidR="00530628" w:rsidRPr="00A77E90" w:rsidRDefault="00530628" w:rsidP="00D44220">
            <w:pPr>
              <w:spacing w:line="276" w:lineRule="auto"/>
              <w:jc w:val="both"/>
              <w:rPr>
                <w:rFonts w:ascii="Times New Roman" w:hAnsi="Times New Roman" w:cs="Times New Roman"/>
                <w:sz w:val="24"/>
                <w:szCs w:val="24"/>
              </w:rPr>
            </w:pPr>
            <w:r w:rsidRPr="00A77E90">
              <w:rPr>
                <w:rFonts w:ascii="Times New Roman" w:hAnsi="Times New Roman" w:cs="Times New Roman"/>
                <w:sz w:val="24"/>
                <w:szCs w:val="24"/>
              </w:rPr>
              <w:t>Uçucu Organik Bileşikler Direktifi ( VOC, Volatile Organic Compounds)</w:t>
            </w:r>
          </w:p>
        </w:tc>
      </w:tr>
      <w:tr w:rsidR="00530628" w:rsidRPr="00A77E90" w:rsidTr="00BD4702">
        <w:trPr>
          <w:trHeight w:val="630"/>
        </w:trPr>
        <w:tc>
          <w:tcPr>
            <w:tcW w:w="9813" w:type="dxa"/>
          </w:tcPr>
          <w:p w:rsidR="00530628" w:rsidRPr="00A77E90" w:rsidRDefault="00530628" w:rsidP="00D44220">
            <w:pPr>
              <w:spacing w:line="276" w:lineRule="auto"/>
              <w:jc w:val="both"/>
              <w:rPr>
                <w:rFonts w:ascii="Times New Roman" w:hAnsi="Times New Roman" w:cs="Times New Roman"/>
                <w:sz w:val="24"/>
                <w:szCs w:val="24"/>
              </w:rPr>
            </w:pPr>
            <w:r w:rsidRPr="00A77E90">
              <w:rPr>
                <w:rFonts w:ascii="Times New Roman" w:hAnsi="Times New Roman" w:cs="Times New Roman"/>
                <w:sz w:val="24"/>
                <w:szCs w:val="24"/>
              </w:rPr>
              <w:t xml:space="preserve">Sera Gazı Emisyonlarının Takibi Hakkında Yönetmelik (MRV, Measurement, Reporting and Verification of GHG) </w:t>
            </w:r>
          </w:p>
        </w:tc>
      </w:tr>
      <w:tr w:rsidR="00530628" w:rsidRPr="00A77E90" w:rsidTr="00BD4702">
        <w:trPr>
          <w:trHeight w:val="315"/>
        </w:trPr>
        <w:tc>
          <w:tcPr>
            <w:tcW w:w="9813" w:type="dxa"/>
          </w:tcPr>
          <w:p w:rsidR="00530628" w:rsidRPr="00A77E90" w:rsidRDefault="00530628" w:rsidP="00D44220">
            <w:pPr>
              <w:spacing w:line="276" w:lineRule="auto"/>
              <w:jc w:val="both"/>
              <w:rPr>
                <w:rFonts w:ascii="Times New Roman" w:hAnsi="Times New Roman" w:cs="Times New Roman"/>
                <w:sz w:val="24"/>
                <w:szCs w:val="24"/>
              </w:rPr>
            </w:pPr>
            <w:r w:rsidRPr="00A77E90">
              <w:rPr>
                <w:rFonts w:ascii="Times New Roman" w:hAnsi="Times New Roman" w:cs="Times New Roman"/>
                <w:sz w:val="24"/>
                <w:szCs w:val="24"/>
              </w:rPr>
              <w:t>Emisyon Ticaret Sistemi (ETS)</w:t>
            </w:r>
          </w:p>
        </w:tc>
      </w:tr>
      <w:tr w:rsidR="00530628" w:rsidRPr="00A77E90" w:rsidTr="00BD4702">
        <w:trPr>
          <w:trHeight w:val="330"/>
        </w:trPr>
        <w:tc>
          <w:tcPr>
            <w:tcW w:w="9813" w:type="dxa"/>
          </w:tcPr>
          <w:p w:rsidR="00530628" w:rsidRPr="00A77E90" w:rsidRDefault="00530628" w:rsidP="00D44220">
            <w:pPr>
              <w:spacing w:line="276" w:lineRule="auto"/>
              <w:jc w:val="both"/>
              <w:rPr>
                <w:rFonts w:ascii="Times New Roman" w:hAnsi="Times New Roman" w:cs="Times New Roman"/>
                <w:sz w:val="24"/>
                <w:szCs w:val="24"/>
              </w:rPr>
            </w:pPr>
            <w:r w:rsidRPr="00A77E90">
              <w:rPr>
                <w:rFonts w:ascii="Times New Roman" w:hAnsi="Times New Roman" w:cs="Times New Roman"/>
                <w:sz w:val="24"/>
                <w:szCs w:val="24"/>
              </w:rPr>
              <w:t>Atmosferi Kirleten Emisyonlar Direktifi</w:t>
            </w:r>
          </w:p>
        </w:tc>
      </w:tr>
      <w:tr w:rsidR="00530628" w:rsidRPr="00A77E90" w:rsidTr="00BD4702">
        <w:trPr>
          <w:trHeight w:val="144"/>
        </w:trPr>
        <w:tc>
          <w:tcPr>
            <w:tcW w:w="9813" w:type="dxa"/>
          </w:tcPr>
          <w:p w:rsidR="00530628" w:rsidRPr="00A77E90" w:rsidRDefault="00530628" w:rsidP="00D44220">
            <w:pPr>
              <w:spacing w:line="276" w:lineRule="auto"/>
              <w:jc w:val="both"/>
              <w:rPr>
                <w:rFonts w:ascii="Times New Roman" w:hAnsi="Times New Roman" w:cs="Times New Roman"/>
                <w:sz w:val="24"/>
                <w:szCs w:val="24"/>
              </w:rPr>
            </w:pPr>
            <w:r w:rsidRPr="00A77E90">
              <w:rPr>
                <w:rFonts w:ascii="Times New Roman" w:hAnsi="Times New Roman" w:cs="Times New Roman"/>
                <w:sz w:val="24"/>
                <w:szCs w:val="24"/>
              </w:rPr>
              <w:t>ÇED Direktifi</w:t>
            </w:r>
          </w:p>
        </w:tc>
      </w:tr>
    </w:tbl>
    <w:p w:rsidR="00017011" w:rsidRDefault="00017011" w:rsidP="001C4592">
      <w:pPr>
        <w:autoSpaceDE w:val="0"/>
        <w:autoSpaceDN w:val="0"/>
        <w:adjustRightInd w:val="0"/>
        <w:spacing w:after="0" w:line="240" w:lineRule="auto"/>
        <w:rPr>
          <w:rFonts w:ascii="Times New Roman" w:hAnsi="Times New Roman"/>
          <w:b/>
          <w:bCs/>
          <w:sz w:val="28"/>
          <w:szCs w:val="28"/>
        </w:rPr>
      </w:pPr>
    </w:p>
    <w:p w:rsidR="00017011" w:rsidRDefault="00017011" w:rsidP="001C4592">
      <w:pPr>
        <w:autoSpaceDE w:val="0"/>
        <w:autoSpaceDN w:val="0"/>
        <w:adjustRightInd w:val="0"/>
        <w:spacing w:after="0" w:line="240" w:lineRule="auto"/>
        <w:rPr>
          <w:rFonts w:ascii="Times New Roman" w:hAnsi="Times New Roman"/>
          <w:b/>
          <w:bCs/>
          <w:sz w:val="28"/>
          <w:szCs w:val="28"/>
        </w:rPr>
      </w:pPr>
    </w:p>
    <w:p w:rsidR="001C4592" w:rsidRPr="00796DCE" w:rsidRDefault="007C761E" w:rsidP="001C4592">
      <w:pPr>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lastRenderedPageBreak/>
        <w:t xml:space="preserve">3- </w:t>
      </w:r>
      <w:r w:rsidR="001C4592" w:rsidRPr="00796DCE">
        <w:rPr>
          <w:rFonts w:ascii="Times New Roman" w:hAnsi="Times New Roman"/>
          <w:b/>
          <w:bCs/>
          <w:sz w:val="28"/>
          <w:szCs w:val="28"/>
        </w:rPr>
        <w:t>REACH T</w:t>
      </w:r>
      <w:r w:rsidR="00410375">
        <w:rPr>
          <w:rFonts w:ascii="Times New Roman" w:hAnsi="Times New Roman"/>
          <w:b/>
          <w:bCs/>
          <w:sz w:val="28"/>
          <w:szCs w:val="28"/>
        </w:rPr>
        <w:t>üzüğü</w:t>
      </w:r>
      <w:r w:rsidR="001C4592" w:rsidRPr="00796DCE">
        <w:rPr>
          <w:rFonts w:ascii="Times New Roman" w:hAnsi="Times New Roman"/>
          <w:b/>
          <w:bCs/>
          <w:sz w:val="28"/>
          <w:szCs w:val="28"/>
        </w:rPr>
        <w:t xml:space="preserve">  S</w:t>
      </w:r>
      <w:r w:rsidR="00410375">
        <w:rPr>
          <w:rFonts w:ascii="Times New Roman" w:hAnsi="Times New Roman"/>
          <w:b/>
          <w:bCs/>
          <w:sz w:val="28"/>
          <w:szCs w:val="28"/>
        </w:rPr>
        <w:t>anayiyi Nasıl</w:t>
      </w:r>
      <w:r w:rsidR="001C4592" w:rsidRPr="00796DCE">
        <w:rPr>
          <w:rFonts w:ascii="Times New Roman" w:hAnsi="Times New Roman"/>
          <w:b/>
          <w:bCs/>
          <w:sz w:val="28"/>
          <w:szCs w:val="28"/>
        </w:rPr>
        <w:t xml:space="preserve"> E</w:t>
      </w:r>
      <w:r w:rsidR="00410375">
        <w:rPr>
          <w:rFonts w:ascii="Times New Roman" w:hAnsi="Times New Roman"/>
          <w:b/>
          <w:bCs/>
          <w:sz w:val="28"/>
          <w:szCs w:val="28"/>
        </w:rPr>
        <w:t>tkiliyor</w:t>
      </w:r>
      <w:r w:rsidR="001C4592" w:rsidRPr="00796DCE">
        <w:rPr>
          <w:rFonts w:ascii="Times New Roman" w:hAnsi="Times New Roman"/>
          <w:b/>
          <w:bCs/>
          <w:sz w:val="28"/>
          <w:szCs w:val="28"/>
        </w:rPr>
        <w:t>?</w:t>
      </w:r>
    </w:p>
    <w:p w:rsidR="001C4592" w:rsidRPr="00796DCE" w:rsidRDefault="001C4592" w:rsidP="001C4592">
      <w:pPr>
        <w:autoSpaceDE w:val="0"/>
        <w:autoSpaceDN w:val="0"/>
        <w:adjustRightInd w:val="0"/>
        <w:spacing w:after="0" w:line="240" w:lineRule="auto"/>
        <w:rPr>
          <w:rFonts w:ascii="Tahoma" w:hAnsi="Tahoma" w:cs="Tahoma"/>
          <w:color w:val="000000"/>
          <w:sz w:val="20"/>
          <w:szCs w:val="20"/>
        </w:rPr>
      </w:pPr>
    </w:p>
    <w:p w:rsidR="001C4592" w:rsidRPr="00796DCE" w:rsidRDefault="001C4592" w:rsidP="001F0A25">
      <w:pPr>
        <w:pStyle w:val="Default"/>
        <w:spacing w:line="276" w:lineRule="auto"/>
        <w:jc w:val="both"/>
        <w:rPr>
          <w:noProof/>
        </w:rPr>
      </w:pPr>
      <w:r w:rsidRPr="00796DCE">
        <w:rPr>
          <w:noProof/>
        </w:rPr>
        <w:t xml:space="preserve">Avrupa Birliğinin kimyasallar politikasını  oluşturan  1907/2006/EC sayılı REACH Tüzüğü,   AB’deki (+Norveç, Lihtenştayn, İzlanda)  kimyasalların kayıt altına alınması, değerlendirilmesi, izne tabi tutulması ve kısıtlanmasına ilişkin getirdiği kurallarla kimyasal maddelerden kaynaklanan risklerin kontrol altına alınarak çevre ve insan sağlığının korunmasını hedeflemektedir. </w:t>
      </w:r>
      <w:r>
        <w:rPr>
          <w:noProof/>
        </w:rPr>
        <w:t xml:space="preserve"> </w:t>
      </w:r>
    </w:p>
    <w:p w:rsidR="001C4592" w:rsidRPr="00796DCE" w:rsidRDefault="001C4592" w:rsidP="001F0A25">
      <w:pPr>
        <w:autoSpaceDE w:val="0"/>
        <w:autoSpaceDN w:val="0"/>
        <w:adjustRightInd w:val="0"/>
        <w:spacing w:after="0"/>
        <w:rPr>
          <w:rFonts w:ascii="Times New Roman" w:hAnsi="Times New Roman"/>
          <w:color w:val="000000"/>
          <w:sz w:val="24"/>
          <w:szCs w:val="24"/>
        </w:rPr>
      </w:pPr>
    </w:p>
    <w:p w:rsidR="001C4592" w:rsidRPr="00796DCE" w:rsidRDefault="001C4592" w:rsidP="001F0A25">
      <w:pPr>
        <w:jc w:val="both"/>
        <w:rPr>
          <w:rFonts w:ascii="Times New Roman" w:hAnsi="Times New Roman"/>
          <w:sz w:val="24"/>
          <w:szCs w:val="24"/>
        </w:rPr>
      </w:pPr>
      <w:r w:rsidRPr="00796DCE">
        <w:rPr>
          <w:rFonts w:ascii="Times New Roman" w:hAnsi="Times New Roman"/>
          <w:sz w:val="24"/>
          <w:szCs w:val="24"/>
        </w:rPr>
        <w:t xml:space="preserve">Ülkemizin AB’ye üyelik süreci ve kimya sektörü ihracatımızın yarısına yakın bir kısmının AB ülkelerine yapıldığı göz önüne alındığında </w:t>
      </w:r>
      <w:r w:rsidRPr="00796DCE">
        <w:rPr>
          <w:rFonts w:ascii="Times New Roman" w:hAnsi="Times New Roman"/>
          <w:b/>
          <w:sz w:val="24"/>
          <w:szCs w:val="24"/>
        </w:rPr>
        <w:t xml:space="preserve">REACH Tüzüğü  ülkemiz kimya sektörünü ve kimyasal maddelerin girdi olarak kullanıldığı  karışım ve eşya türü ürün gruplarını kapsamına aldığından boyadan beyaz eşyaya sektörün büyük bir kısmını yakından ilgilendirmektedir. </w:t>
      </w:r>
      <w:r w:rsidRPr="00796DCE">
        <w:rPr>
          <w:rFonts w:ascii="Times New Roman" w:hAnsi="Times New Roman"/>
          <w:sz w:val="24"/>
          <w:szCs w:val="24"/>
        </w:rPr>
        <w:t>REACH,  AB’ye ihracat yapan firmalarımıza olduğu kadar, ihracata yönelik tedarik hizmeti veren üretici firmalara da kayıt, izin, kısıtlama süreçlerinde sorumluluklar yüklemektedir.</w:t>
      </w:r>
    </w:p>
    <w:p w:rsidR="001C4592" w:rsidRPr="001F0A25" w:rsidRDefault="001C4592" w:rsidP="001F0A25">
      <w:pPr>
        <w:autoSpaceDE w:val="0"/>
        <w:autoSpaceDN w:val="0"/>
        <w:adjustRightInd w:val="0"/>
        <w:spacing w:after="0"/>
        <w:jc w:val="both"/>
        <w:rPr>
          <w:rFonts w:ascii="Times New Roman" w:hAnsi="Times New Roman" w:cs="Times New Roman"/>
          <w:sz w:val="24"/>
          <w:szCs w:val="24"/>
        </w:rPr>
      </w:pPr>
      <w:r w:rsidRPr="001F0A25">
        <w:rPr>
          <w:rFonts w:ascii="Times New Roman" w:hAnsi="Times New Roman" w:cs="Times New Roman"/>
          <w:sz w:val="24"/>
          <w:szCs w:val="24"/>
        </w:rPr>
        <w:t>REACH Tüzüğü Avrupa Birliğine (AB)  yapılan ihracatlardan söz konusu ülkelerde yerleşik ithalattan sorumlu tüzel kişil</w:t>
      </w:r>
      <w:r w:rsidR="00226F26">
        <w:rPr>
          <w:rFonts w:ascii="Times New Roman" w:hAnsi="Times New Roman" w:cs="Times New Roman"/>
          <w:sz w:val="24"/>
          <w:szCs w:val="24"/>
        </w:rPr>
        <w:t xml:space="preserve">eri sorumlu tutmakla birlikte AB </w:t>
      </w:r>
      <w:r w:rsidRPr="001F0A25">
        <w:rPr>
          <w:rFonts w:ascii="Times New Roman" w:hAnsi="Times New Roman" w:cs="Times New Roman"/>
          <w:sz w:val="24"/>
          <w:szCs w:val="24"/>
        </w:rPr>
        <w:t>dışındaki  üretici/formülatör  firmaların, AB’deki tüm ithalatla</w:t>
      </w:r>
      <w:r w:rsidR="00226F26">
        <w:rPr>
          <w:rFonts w:ascii="Times New Roman" w:hAnsi="Times New Roman" w:cs="Times New Roman"/>
          <w:sz w:val="24"/>
          <w:szCs w:val="24"/>
        </w:rPr>
        <w:t xml:space="preserve">rının sorumluluğunu üstlenecek </w:t>
      </w:r>
      <w:r w:rsidRPr="001F0A25">
        <w:rPr>
          <w:rFonts w:ascii="Times New Roman" w:hAnsi="Times New Roman" w:cs="Times New Roman"/>
          <w:sz w:val="24"/>
          <w:szCs w:val="24"/>
        </w:rPr>
        <w:t>AB’de yerleşik bir gerçek ya da tüzel kişiyi “Tek Temsilci</w:t>
      </w:r>
      <w:r w:rsidR="00226F26">
        <w:rPr>
          <w:rFonts w:ascii="Times New Roman" w:hAnsi="Times New Roman" w:cs="Times New Roman"/>
          <w:sz w:val="24"/>
          <w:szCs w:val="24"/>
        </w:rPr>
        <w:t xml:space="preserve">” atamalarını  mümkün kılıyor. </w:t>
      </w:r>
      <w:r w:rsidRPr="001F0A25">
        <w:rPr>
          <w:rFonts w:ascii="Times New Roman" w:hAnsi="Times New Roman" w:cs="Times New Roman"/>
          <w:sz w:val="24"/>
          <w:szCs w:val="24"/>
        </w:rPr>
        <w:t>Bu durum, kayıt dosyası sunumu,  izin başvurularında   AB’deki ithalatçı yerine “Tek Temsilci” ile çalışmaları tavsiye edilen A</w:t>
      </w:r>
      <w:r w:rsidR="00265D44">
        <w:rPr>
          <w:rFonts w:ascii="Times New Roman" w:hAnsi="Times New Roman" w:cs="Times New Roman"/>
          <w:sz w:val="24"/>
          <w:szCs w:val="24"/>
        </w:rPr>
        <w:t>B-dışı firmalara dosya (kayıt</w:t>
      </w:r>
      <w:r w:rsidRPr="001F0A25">
        <w:rPr>
          <w:rFonts w:ascii="Times New Roman" w:hAnsi="Times New Roman" w:cs="Times New Roman"/>
          <w:sz w:val="24"/>
          <w:szCs w:val="24"/>
        </w:rPr>
        <w:t>, izin, eşya içindeki madde bildirimleri gibi ) hazırlığı maliyeti  ve  Avrupa Kimyasallar Ajansı’na (ECHA) yapılacak başvuru ücretine ek olarak “Tek Temsilci”  maliyetini  getirmektedir.</w:t>
      </w:r>
    </w:p>
    <w:p w:rsidR="001C4592" w:rsidRDefault="001C4592" w:rsidP="001F0A25">
      <w:pPr>
        <w:jc w:val="both"/>
        <w:rPr>
          <w:rFonts w:ascii="Times New Roman" w:hAnsi="Times New Roman"/>
          <w:b/>
          <w:bCs/>
          <w:sz w:val="24"/>
          <w:szCs w:val="24"/>
        </w:rPr>
      </w:pPr>
    </w:p>
    <w:p w:rsidR="001C4592" w:rsidRDefault="007C761E" w:rsidP="001C4592">
      <w:pPr>
        <w:jc w:val="both"/>
        <w:rPr>
          <w:rFonts w:ascii="Times New Roman" w:hAnsi="Times New Roman"/>
          <w:b/>
          <w:bCs/>
          <w:sz w:val="24"/>
          <w:szCs w:val="24"/>
        </w:rPr>
      </w:pPr>
      <w:r>
        <w:rPr>
          <w:rFonts w:ascii="Times New Roman" w:hAnsi="Times New Roman"/>
          <w:b/>
          <w:bCs/>
          <w:sz w:val="24"/>
          <w:szCs w:val="24"/>
        </w:rPr>
        <w:t xml:space="preserve">3.1- </w:t>
      </w:r>
      <w:r w:rsidR="001C4592" w:rsidRPr="00796DCE">
        <w:rPr>
          <w:rFonts w:ascii="Times New Roman" w:hAnsi="Times New Roman"/>
          <w:b/>
          <w:bCs/>
          <w:sz w:val="24"/>
          <w:szCs w:val="24"/>
        </w:rPr>
        <w:t xml:space="preserve">Kayıt </w:t>
      </w:r>
    </w:p>
    <w:p w:rsidR="001C4592" w:rsidRDefault="001C4592" w:rsidP="009C3DC9">
      <w:pPr>
        <w:pStyle w:val="Default"/>
        <w:spacing w:line="276" w:lineRule="auto"/>
        <w:jc w:val="both"/>
        <w:rPr>
          <w:bCs/>
          <w:noProof/>
        </w:rPr>
      </w:pPr>
      <w:r w:rsidRPr="00796DCE">
        <w:rPr>
          <w:bCs/>
          <w:noProof/>
        </w:rPr>
        <w:t>Yılda 1 ton veya üzerinde kendi başlarına, bir karışım ya da normal ve öngörülen koşullar altında tasarlanmış salınım yapan eşya içinde</w:t>
      </w:r>
      <w:r>
        <w:rPr>
          <w:bCs/>
          <w:noProof/>
        </w:rPr>
        <w:t>ki</w:t>
      </w:r>
      <w:r w:rsidRPr="00796DCE">
        <w:rPr>
          <w:bCs/>
          <w:noProof/>
        </w:rPr>
        <w:t xml:space="preserve"> AB pazarına sunulan kimyasal maddelerin, tehlike özelliklerine ve yıllık ihracat hacmine bağlı olarak tüzüğün yönetiminden sorumlu Avrupa Kimyasallar Ajansı (ECHA) yönetimindeki </w:t>
      </w:r>
      <w:r w:rsidRPr="00796DCE">
        <w:rPr>
          <w:noProof/>
        </w:rPr>
        <w:t xml:space="preserve">merkezi bir veri tabanına  </w:t>
      </w:r>
      <w:r w:rsidRPr="00796DCE">
        <w:rPr>
          <w:bCs/>
          <w:noProof/>
        </w:rPr>
        <w:t>kayıt ettirilmelerini zorunlu kılıyor.</w:t>
      </w:r>
    </w:p>
    <w:p w:rsidR="001C4592" w:rsidRDefault="001C4592" w:rsidP="001C4592">
      <w:pPr>
        <w:pStyle w:val="Default"/>
        <w:jc w:val="both"/>
        <w:rPr>
          <w:bCs/>
          <w:noProof/>
        </w:rPr>
      </w:pPr>
    </w:p>
    <w:p w:rsidR="001C4592" w:rsidRPr="001F0A25" w:rsidRDefault="001C4592" w:rsidP="001F0A25">
      <w:pPr>
        <w:jc w:val="both"/>
        <w:rPr>
          <w:rFonts w:ascii="Times New Roman" w:hAnsi="Times New Roman" w:cs="Times New Roman"/>
          <w:sz w:val="24"/>
          <w:szCs w:val="24"/>
        </w:rPr>
      </w:pPr>
      <w:r w:rsidRPr="001F0A25">
        <w:rPr>
          <w:rFonts w:ascii="Times New Roman" w:hAnsi="Times New Roman" w:cs="Times New Roman"/>
          <w:sz w:val="24"/>
          <w:szCs w:val="24"/>
        </w:rPr>
        <w:t>Söz konusu kayıt dosyalarının içeriğinde, kimyasallara ilişkin GLP standartlarında gerçekleştirilen test sonuçları, maddenin toksikolojik ve ekotoksikolojik etkileri ile taşıdığı riskleri gösteren birtakım ilave bilgiler talep edilmektedir.  Buna ek olarak  yılda 10 ton veya  üzeri miktardaki  madde  kayıt dosyalarının, ilgili maddenin  kullanımı ve/veya üretiminden doğan risklerin değerlendirildiğini ve uygun olarak kontrol edilebildiğini tanımlayan kimyasal güvenlik raporunu (CSR) da içermesi gerekmektedir.</w:t>
      </w:r>
    </w:p>
    <w:p w:rsidR="001C4592" w:rsidRDefault="001C4592" w:rsidP="009C3DC9">
      <w:pPr>
        <w:pStyle w:val="Default"/>
        <w:spacing w:line="276" w:lineRule="auto"/>
        <w:jc w:val="both"/>
        <w:rPr>
          <w:rFonts w:ascii="Arial" w:hAnsi="Arial" w:cs="Arial"/>
          <w:sz w:val="20"/>
          <w:szCs w:val="20"/>
        </w:rPr>
      </w:pPr>
      <w:r>
        <w:rPr>
          <w:bCs/>
          <w:noProof/>
        </w:rPr>
        <w:t xml:space="preserve">Spesifik mevzuatlar kapsamında düzenlenen ilaç ve tıbbi ürünlerde kullanılan maddeler, su, asal gazlar, glikoz gibi düşük oranda risk taşıyan maddeler, mineraller, doğal gaz, bitki özleri gibi doğada bulunan maddeler, kimyasal yapıları değiştirilmediği sürece kayıt altına </w:t>
      </w:r>
      <w:r w:rsidRPr="00CC255E">
        <w:rPr>
          <w:bCs/>
          <w:noProof/>
        </w:rPr>
        <w:t>alınmaları gerekmemektedir.</w:t>
      </w:r>
      <w:r w:rsidRPr="00CC255E">
        <w:t xml:space="preserve"> Kayıt uygulama takvimi, kayıt prosedürü, kayıt dosyasının hazırlanması, geç ön-kayıt, veri paylaşımı, madde bilgileri paylaşım </w:t>
      </w:r>
      <w:proofErr w:type="spellStart"/>
      <w:r w:rsidRPr="00CC255E">
        <w:t>platformuortak</w:t>
      </w:r>
      <w:proofErr w:type="spellEnd"/>
      <w:r w:rsidRPr="00CC255E">
        <w:t xml:space="preserve"> kayıt </w:t>
      </w:r>
      <w:r w:rsidRPr="00CC255E">
        <w:lastRenderedPageBreak/>
        <w:t xml:space="preserve">dosyasının sunumu, </w:t>
      </w:r>
      <w:proofErr w:type="gramStart"/>
      <w:r w:rsidRPr="00CC255E">
        <w:t>Ajans’a  kayıt</w:t>
      </w:r>
      <w:proofErr w:type="gramEnd"/>
      <w:r w:rsidRPr="00CC255E">
        <w:t xml:space="preserve"> işlemi yapılacak maddenin tonaj bandına ve firmanın ölçeğine göre değişen kayıt başvuru ücretleri ile ilgili detaylı bilgilere </w:t>
      </w:r>
      <w:hyperlink r:id="rId10" w:history="1">
        <w:r w:rsidRPr="00CC255E">
          <w:rPr>
            <w:rStyle w:val="Kpr"/>
          </w:rPr>
          <w:t>İMMİB REACH Yardim Masası web sayfasından</w:t>
        </w:r>
      </w:hyperlink>
      <w:r w:rsidRPr="00CC255E">
        <w:t xml:space="preserve"> veya Ajans tarafından yayınlanan Yardım Masamız tarafından </w:t>
      </w:r>
      <w:proofErr w:type="spellStart"/>
      <w:r w:rsidRPr="00CC255E">
        <w:t>Türkçe’ye</w:t>
      </w:r>
      <w:proofErr w:type="spellEnd"/>
      <w:r w:rsidRPr="00CC255E">
        <w:t xml:space="preserve"> çevrilen </w:t>
      </w:r>
      <w:hyperlink r:id="rId11" w:history="1">
        <w:r w:rsidRPr="00CC255E">
          <w:rPr>
            <w:rStyle w:val="Kpr"/>
          </w:rPr>
          <w:t>Kayıt Rehberinden</w:t>
        </w:r>
      </w:hyperlink>
      <w:r w:rsidRPr="00CC255E">
        <w:t xml:space="preserve"> ulaşılabilir. </w:t>
      </w:r>
    </w:p>
    <w:p w:rsidR="001C4592" w:rsidRPr="00796DCE" w:rsidRDefault="001C4592" w:rsidP="001C4592">
      <w:pPr>
        <w:pStyle w:val="Default"/>
        <w:jc w:val="both"/>
        <w:rPr>
          <w:b/>
          <w:noProof/>
        </w:rPr>
      </w:pPr>
    </w:p>
    <w:p w:rsidR="001C4592" w:rsidRDefault="007C761E" w:rsidP="001C4592">
      <w:pPr>
        <w:autoSpaceDE w:val="0"/>
        <w:autoSpaceDN w:val="0"/>
        <w:adjustRightInd w:val="0"/>
        <w:spacing w:after="0"/>
        <w:jc w:val="both"/>
        <w:rPr>
          <w:rFonts w:ascii="Times New Roman" w:hAnsi="Times New Roman"/>
          <w:b/>
          <w:color w:val="000000"/>
          <w:sz w:val="24"/>
          <w:szCs w:val="24"/>
        </w:rPr>
      </w:pPr>
      <w:r>
        <w:rPr>
          <w:rFonts w:ascii="Times New Roman" w:hAnsi="Times New Roman"/>
          <w:b/>
          <w:color w:val="000000"/>
          <w:sz w:val="24"/>
          <w:szCs w:val="24"/>
        </w:rPr>
        <w:t xml:space="preserve">3.2- </w:t>
      </w:r>
      <w:r w:rsidR="001C4592" w:rsidRPr="00796DCE">
        <w:rPr>
          <w:rFonts w:ascii="Times New Roman" w:hAnsi="Times New Roman"/>
          <w:b/>
          <w:color w:val="000000"/>
          <w:sz w:val="24"/>
          <w:szCs w:val="24"/>
        </w:rPr>
        <w:t xml:space="preserve">Tedarik Zincirinde Bilgi İletimi </w:t>
      </w:r>
    </w:p>
    <w:p w:rsidR="006E2ABF" w:rsidRPr="00796DCE" w:rsidRDefault="006E2ABF" w:rsidP="001C4592">
      <w:pPr>
        <w:autoSpaceDE w:val="0"/>
        <w:autoSpaceDN w:val="0"/>
        <w:adjustRightInd w:val="0"/>
        <w:spacing w:after="0"/>
        <w:jc w:val="both"/>
        <w:rPr>
          <w:rFonts w:ascii="Times New Roman" w:hAnsi="Times New Roman"/>
          <w:b/>
          <w:color w:val="000000"/>
          <w:sz w:val="24"/>
          <w:szCs w:val="24"/>
        </w:rPr>
      </w:pPr>
    </w:p>
    <w:p w:rsidR="001C4592" w:rsidRDefault="001C4592" w:rsidP="001C4592">
      <w:pPr>
        <w:autoSpaceDE w:val="0"/>
        <w:autoSpaceDN w:val="0"/>
        <w:adjustRightInd w:val="0"/>
        <w:spacing w:after="0"/>
        <w:jc w:val="both"/>
        <w:rPr>
          <w:rFonts w:ascii="Times New Roman" w:hAnsi="Times New Roman"/>
          <w:sz w:val="24"/>
          <w:szCs w:val="24"/>
        </w:rPr>
      </w:pPr>
      <w:r w:rsidRPr="00796DCE">
        <w:rPr>
          <w:rFonts w:ascii="Times New Roman" w:hAnsi="Times New Roman"/>
          <w:sz w:val="24"/>
          <w:szCs w:val="24"/>
        </w:rPr>
        <w:t xml:space="preserve">REACH Tüzüğü, tek başlarına ya da karışım içinde maddelerin  insan ve çevre için güvenli bir şekilde kullanımını  tedarik zinciri iletişiminin temel aracı olan  </w:t>
      </w:r>
      <w:hyperlink r:id="rId12" w:history="1">
        <w:r w:rsidRPr="00796DCE">
          <w:rPr>
            <w:rStyle w:val="Kpr"/>
            <w:rFonts w:ascii="Times New Roman" w:hAnsi="Times New Roman"/>
            <w:sz w:val="24"/>
            <w:szCs w:val="24"/>
          </w:rPr>
          <w:t>Güvenlik Bilgi Formu</w:t>
        </w:r>
      </w:hyperlink>
      <w:r w:rsidRPr="00796DCE">
        <w:rPr>
          <w:rFonts w:ascii="Times New Roman" w:hAnsi="Times New Roman"/>
          <w:sz w:val="24"/>
          <w:szCs w:val="24"/>
        </w:rPr>
        <w:t xml:space="preserve"> (GBF – SDS)  ile sağlanmasını öngörüyor. </w:t>
      </w:r>
      <w:hyperlink r:id="rId13" w:history="1">
        <w:r w:rsidRPr="00796DCE">
          <w:rPr>
            <w:rStyle w:val="Kpr"/>
            <w:rFonts w:ascii="Times New Roman" w:hAnsi="Times New Roman"/>
            <w:sz w:val="24"/>
            <w:szCs w:val="24"/>
          </w:rPr>
          <w:t>Üretici</w:t>
        </w:r>
      </w:hyperlink>
      <w:r w:rsidRPr="00796DCE">
        <w:rPr>
          <w:rFonts w:ascii="Times New Roman" w:hAnsi="Times New Roman"/>
          <w:sz w:val="24"/>
          <w:szCs w:val="24"/>
        </w:rPr>
        <w:t xml:space="preserve">/ihracatçı, AB pazarına sunduğu ürünler için REACH Tüzüğü  öncesinde yaptığına benzer ilkelerle SDS hazırlayacaktır. Temel fark, SDS’e madde veya karışımın tanımlanan kullanımı için gerektiğinde güvenli kullanım koşullarını açıklayan </w:t>
      </w:r>
      <w:hyperlink r:id="rId14" w:history="1">
        <w:r w:rsidRPr="00796DCE">
          <w:rPr>
            <w:rStyle w:val="Kpr"/>
            <w:rFonts w:ascii="Times New Roman" w:hAnsi="Times New Roman"/>
            <w:sz w:val="24"/>
            <w:szCs w:val="24"/>
          </w:rPr>
          <w:t>maruziyet senaryosu</w:t>
        </w:r>
      </w:hyperlink>
      <w:r w:rsidRPr="00796DCE">
        <w:rPr>
          <w:rFonts w:ascii="Times New Roman" w:hAnsi="Times New Roman"/>
          <w:sz w:val="24"/>
          <w:szCs w:val="24"/>
        </w:rPr>
        <w:t xml:space="preserve">’nun eklenmesidir. </w:t>
      </w:r>
    </w:p>
    <w:p w:rsidR="001C4592" w:rsidRDefault="001C4592" w:rsidP="001C4592">
      <w:pPr>
        <w:autoSpaceDE w:val="0"/>
        <w:autoSpaceDN w:val="0"/>
        <w:adjustRightInd w:val="0"/>
        <w:spacing w:after="0"/>
        <w:jc w:val="both"/>
        <w:rPr>
          <w:rFonts w:ascii="Times New Roman" w:hAnsi="Times New Roman"/>
          <w:sz w:val="24"/>
          <w:szCs w:val="24"/>
        </w:rPr>
      </w:pPr>
    </w:p>
    <w:p w:rsidR="001C4592" w:rsidRDefault="001C4592" w:rsidP="001C4592">
      <w:pPr>
        <w:autoSpaceDE w:val="0"/>
        <w:autoSpaceDN w:val="0"/>
        <w:adjustRightInd w:val="0"/>
        <w:spacing w:after="0"/>
        <w:jc w:val="both"/>
        <w:rPr>
          <w:rFonts w:ascii="Times New Roman" w:hAnsi="Times New Roman"/>
          <w:color w:val="000000"/>
          <w:sz w:val="24"/>
          <w:szCs w:val="24"/>
        </w:rPr>
      </w:pPr>
      <w:r w:rsidRPr="00796DCE">
        <w:rPr>
          <w:rFonts w:ascii="Times New Roman" w:hAnsi="Times New Roman"/>
          <w:color w:val="000000"/>
          <w:sz w:val="24"/>
          <w:szCs w:val="24"/>
        </w:rPr>
        <w:t xml:space="preserve">REACH Tüzüğü kapsamında AB’deki müşteriye </w:t>
      </w:r>
      <w:r w:rsidRPr="00796DCE">
        <w:rPr>
          <w:rFonts w:ascii="Times New Roman" w:hAnsi="Times New Roman"/>
          <w:sz w:val="24"/>
          <w:szCs w:val="24"/>
        </w:rPr>
        <w:t>madde ve karışımların sınıflandırılması, etiketlenmesi ve ambalajlanmasına ilişkin CLP Tüzüğü kurallarını dikkate alan 20 Mayıs 2010 tarihli 453/2010 Sayılı (AB) Komisyon Tüzüğüne  göre  “</w:t>
      </w:r>
      <w:r w:rsidRPr="00796DCE">
        <w:rPr>
          <w:rFonts w:ascii="Times New Roman" w:hAnsi="Times New Roman"/>
          <w:color w:val="000000"/>
          <w:sz w:val="24"/>
          <w:szCs w:val="24"/>
        </w:rPr>
        <w:t xml:space="preserve">tehlikeli” olarak sınıflandırılan madde ve karışımların yanı sıra İzne Tabi Maddeler Listesi’ne (REACH Tüzüğü Ek XIV)  dahil edilmesi muhtemel </w:t>
      </w:r>
      <w:r w:rsidRPr="00796DCE">
        <w:rPr>
          <w:rFonts w:ascii="Times New Roman" w:hAnsi="Times New Roman"/>
          <w:b/>
          <w:color w:val="000000"/>
          <w:sz w:val="24"/>
          <w:szCs w:val="24"/>
        </w:rPr>
        <w:t>Aday Liste</w:t>
      </w:r>
      <w:r w:rsidRPr="00796DCE">
        <w:rPr>
          <w:rFonts w:ascii="Times New Roman" w:hAnsi="Times New Roman"/>
          <w:color w:val="000000"/>
          <w:sz w:val="24"/>
          <w:szCs w:val="24"/>
        </w:rPr>
        <w:t xml:space="preserve">’deki  PBT(kalıcı, biyobirikimli ve toksik) veya vPvB (çok kalıcı ve çok biyobirikimli) maddeler ve bu maddelerin  kullanıldığı karışımlar için  tedarik zincirinde E-SDS’lerin  temin edilmesi gerekiyor. </w:t>
      </w:r>
      <w:r>
        <w:rPr>
          <w:rFonts w:ascii="Times New Roman" w:hAnsi="Times New Roman"/>
          <w:color w:val="000000"/>
          <w:sz w:val="24"/>
          <w:szCs w:val="24"/>
        </w:rPr>
        <w:t xml:space="preserve">Güncel SVHC Aday Liste ve ürünün madde, karışım ve eşya olmasına göre  tedarik zincirinde SVHC bilgisinin iletiminin yerine getirilmesine ilişkin detaylı bilgiler,  </w:t>
      </w:r>
      <w:hyperlink r:id="rId15" w:history="1">
        <w:r w:rsidRPr="00AE3BDB">
          <w:rPr>
            <w:rStyle w:val="Kpr"/>
            <w:rFonts w:ascii="Times New Roman" w:hAnsi="Times New Roman"/>
            <w:sz w:val="24"/>
            <w:szCs w:val="24"/>
          </w:rPr>
          <w:t>İMMİB REACH Yardım Masası’nın websayfasında</w:t>
        </w:r>
      </w:hyperlink>
      <w:r>
        <w:rPr>
          <w:rFonts w:ascii="Times New Roman" w:hAnsi="Times New Roman"/>
          <w:color w:val="000000"/>
          <w:sz w:val="24"/>
          <w:szCs w:val="24"/>
        </w:rPr>
        <w:t xml:space="preserve"> yer almaktadır. </w:t>
      </w:r>
    </w:p>
    <w:p w:rsidR="001C4592" w:rsidRDefault="001C4592" w:rsidP="001C4592">
      <w:pPr>
        <w:autoSpaceDE w:val="0"/>
        <w:autoSpaceDN w:val="0"/>
        <w:adjustRightInd w:val="0"/>
        <w:spacing w:after="0"/>
        <w:jc w:val="both"/>
        <w:rPr>
          <w:rFonts w:ascii="Times New Roman" w:hAnsi="Times New Roman"/>
          <w:color w:val="000000"/>
          <w:sz w:val="24"/>
          <w:szCs w:val="24"/>
        </w:rPr>
      </w:pPr>
    </w:p>
    <w:p w:rsidR="001C4592" w:rsidRDefault="001C4592" w:rsidP="001C4592">
      <w:pPr>
        <w:autoSpaceDE w:val="0"/>
        <w:autoSpaceDN w:val="0"/>
        <w:adjustRightInd w:val="0"/>
        <w:jc w:val="both"/>
        <w:rPr>
          <w:rFonts w:ascii="Times New Roman" w:hAnsi="Times New Roman"/>
          <w:sz w:val="24"/>
          <w:szCs w:val="24"/>
        </w:rPr>
      </w:pPr>
      <w:r w:rsidRPr="00796DCE">
        <w:rPr>
          <w:rFonts w:ascii="Times New Roman" w:hAnsi="Times New Roman"/>
          <w:sz w:val="24"/>
          <w:szCs w:val="24"/>
        </w:rPr>
        <w:t>Tedarikçi, genişletilmiş güvenlik bilgi formları (E-SDS) ile iletişimlerin gerekmediği durumda bile madde hakkında önemli risk bilgilerini, izne ya da kısıtlamaya tabi olması durumunda uygun risk yönetimini sağlayacak mevcut bilgiyi AB’deki müşteriye sağlamakla yükümlüdür.</w:t>
      </w:r>
    </w:p>
    <w:p w:rsidR="006761C9" w:rsidRPr="006761C9" w:rsidRDefault="006761C9" w:rsidP="006761C9">
      <w:pPr>
        <w:autoSpaceDE w:val="0"/>
        <w:autoSpaceDN w:val="0"/>
        <w:adjustRightInd w:val="0"/>
        <w:spacing w:after="0"/>
        <w:jc w:val="both"/>
        <w:rPr>
          <w:rFonts w:ascii="Times New Roman" w:hAnsi="Times New Roman"/>
          <w:sz w:val="24"/>
          <w:szCs w:val="24"/>
        </w:rPr>
      </w:pPr>
      <w:r w:rsidRPr="006761C9">
        <w:rPr>
          <w:rFonts w:ascii="Times New Roman" w:hAnsi="Times New Roman"/>
          <w:sz w:val="24"/>
          <w:szCs w:val="24"/>
        </w:rPr>
        <w:t>AB’ye eşya türü (otomotiv yedek parçası, beyaz eşya, mobilya, ambalaj malzemeleri vb) ürün  ihracatı firmaların, ürünleri  ağırlıkça  % 0.1 konsantrasyonun üzerinde yüksek önem arz eden madde (SVHC) içeriyorsa müşterilerini “eşyanın güvenli kullanımı” hakkında  bilgilendirmeleri gerekiyor.  Eşya ihracatı yapan firmaların, ürünleri içindeki SVHC içeriğini doğru bir şekilde tespit edebilmeleri AB-dışı tedarik zincirinden gelen bilgilere bağlı olduğundan tedarik zincirinde etkin bir iletişimin sağlanması gerektiriyor. Diğer taraftan elektrikli ürünler, otomobil gibi “kompleks eşya”ların karmaşık tedarik zincirine sahip olması  SVHC içerik bilgisinin tespit edilmesini güçleştirebilmekte. Nihai üründeki SVHC  yüzdesinin tespit edilmesi için tedarik zinciri iletişime yönelik bilgi sistemleri kullanılmakta, tedarik zincirinden bilgi alınamayan durumlar için son çare olarak  teste başvurulmakta.</w:t>
      </w:r>
    </w:p>
    <w:p w:rsidR="001C4592" w:rsidRDefault="006761C9" w:rsidP="006761C9">
      <w:pPr>
        <w:autoSpaceDE w:val="0"/>
        <w:autoSpaceDN w:val="0"/>
        <w:adjustRightInd w:val="0"/>
        <w:spacing w:after="0"/>
        <w:jc w:val="both"/>
        <w:rPr>
          <w:rFonts w:ascii="Times New Roman" w:hAnsi="Times New Roman"/>
          <w:sz w:val="24"/>
          <w:szCs w:val="24"/>
        </w:rPr>
      </w:pPr>
      <w:r w:rsidRPr="006761C9">
        <w:rPr>
          <w:rFonts w:ascii="Times New Roman" w:hAnsi="Times New Roman"/>
          <w:sz w:val="24"/>
          <w:szCs w:val="24"/>
        </w:rPr>
        <w:t>Aday Liste’nin yılda 2 kez güncellenmesi  AB’ye madde, karışım ve eşya türü ürün ihracatı yapan firmaların, Aday Liste’yi takip etmelerini, ürünün AB-dışı  tedarik zincirini bilgilendirmelerini ve/veya  iletişim araçlarını güncellemelerini gerekli kılıyor.</w:t>
      </w:r>
    </w:p>
    <w:p w:rsidR="001C4592" w:rsidRDefault="007C761E" w:rsidP="001C4592">
      <w:pPr>
        <w:pStyle w:val="NormalWeb"/>
        <w:spacing w:before="0" w:after="120" w:line="288" w:lineRule="auto"/>
        <w:jc w:val="both"/>
        <w:rPr>
          <w:b/>
          <w:noProof/>
        </w:rPr>
      </w:pPr>
      <w:r>
        <w:rPr>
          <w:b/>
          <w:noProof/>
        </w:rPr>
        <w:lastRenderedPageBreak/>
        <w:t xml:space="preserve">3.3- </w:t>
      </w:r>
      <w:r w:rsidR="001C4592">
        <w:rPr>
          <w:b/>
          <w:noProof/>
        </w:rPr>
        <w:t xml:space="preserve">Eşya içindeki yüksek önem arz eden madelerin (SVHC) bildirimi </w:t>
      </w:r>
    </w:p>
    <w:p w:rsidR="001C4592" w:rsidRPr="00346B0D" w:rsidRDefault="001C4592" w:rsidP="001C4592">
      <w:pPr>
        <w:pStyle w:val="NormalWeb"/>
        <w:spacing w:line="276" w:lineRule="auto"/>
        <w:jc w:val="both"/>
        <w:rPr>
          <w:color w:val="000000"/>
        </w:rPr>
      </w:pPr>
      <w:r w:rsidRPr="009A6A62">
        <w:t>AB</w:t>
      </w:r>
      <w:r>
        <w:t xml:space="preserve"> </w:t>
      </w:r>
      <w:r w:rsidRPr="00346B0D">
        <w:t xml:space="preserve">pazarındaki eşya içerisinde ağırlıkça % 0.1’den fazla derişimde ve 1 ton/yıl’dan daha fazla </w:t>
      </w:r>
      <w:proofErr w:type="gramStart"/>
      <w:r w:rsidRPr="00346B0D">
        <w:t>miktarda  bulunan</w:t>
      </w:r>
      <w:proofErr w:type="gramEnd"/>
      <w:r w:rsidRPr="00346B0D">
        <w:t xml:space="preserve"> Aday Listesi’ndeki maddeler  (SVHC)  için Avrupa Kimyasallar Ajansı’na (AKA) bildirim yapılması zorunludur.  Aralık 2010’dan önce Aday Listeye alınan maddelerin en geç 1 Haziran 2011’e kadar ve daha sonra Aday Listeye alınan maddelerin ise </w:t>
      </w:r>
      <w:proofErr w:type="gramStart"/>
      <w:r w:rsidRPr="00346B0D">
        <w:t>dahil</w:t>
      </w:r>
      <w:proofErr w:type="gramEnd"/>
      <w:r w:rsidRPr="00346B0D">
        <w:t xml:space="preserve"> edildiği tarihten itibaren en geç 6 ay içinde Ajans’a bildirimi gerekiyor. </w:t>
      </w:r>
      <w:r w:rsidRPr="00346B0D">
        <w:rPr>
          <w:color w:val="000000"/>
        </w:rPr>
        <w:t xml:space="preserve">Eşya içindeki SVHC bildirimleri, ithal edilen eşyanın tonajı temelinde AB’deki  ithalatçı firmalar tarafından yapılabileceği gibi AB’ye eşya ihracatı yapan bir firma, dilerse AB’de yerleşik  “Tek Temsilci” atayarak, AB’ye giren toplam eşya ağırlığı temelinde “Tek Temsilci” vasıtasıyla eşya içindeki madde bildirimini yapabilir. </w:t>
      </w:r>
    </w:p>
    <w:p w:rsidR="001C4592" w:rsidRPr="00796DCE" w:rsidRDefault="007C761E" w:rsidP="001C4592">
      <w:pPr>
        <w:pStyle w:val="NormalWeb"/>
        <w:spacing w:before="0" w:after="120" w:line="288" w:lineRule="auto"/>
        <w:jc w:val="both"/>
        <w:rPr>
          <w:b/>
          <w:noProof/>
        </w:rPr>
      </w:pPr>
      <w:r>
        <w:rPr>
          <w:b/>
          <w:noProof/>
        </w:rPr>
        <w:t xml:space="preserve">3.4- </w:t>
      </w:r>
      <w:r w:rsidR="001C4592" w:rsidRPr="00796DCE">
        <w:rPr>
          <w:b/>
          <w:noProof/>
        </w:rPr>
        <w:t>İzin</w:t>
      </w:r>
    </w:p>
    <w:p w:rsidR="001C4592" w:rsidRPr="00796DCE" w:rsidRDefault="001C4592" w:rsidP="001C4592">
      <w:pPr>
        <w:autoSpaceDE w:val="0"/>
        <w:autoSpaceDN w:val="0"/>
        <w:adjustRightInd w:val="0"/>
        <w:spacing w:after="0"/>
        <w:jc w:val="both"/>
        <w:rPr>
          <w:rFonts w:ascii="Times New Roman" w:hAnsi="Times New Roman"/>
          <w:sz w:val="24"/>
          <w:szCs w:val="24"/>
        </w:rPr>
      </w:pPr>
      <w:r w:rsidRPr="00796DCE">
        <w:rPr>
          <w:rFonts w:ascii="Times New Roman" w:hAnsi="Times New Roman"/>
          <w:sz w:val="24"/>
          <w:szCs w:val="24"/>
        </w:rPr>
        <w:t xml:space="preserve">Yüksek Önem Arz eden Maddeler (SVHC) aşamalı olarak REACH Tüzüğü Ek XIV’e (İzne tabi maddeler listesi) dahil edliecektir. Ek XIV’e dahil edilen maddelerin, listede belirtilen son kullanım  tarihlerinin (sunset date) ardından </w:t>
      </w:r>
      <w:r w:rsidRPr="00796DCE">
        <w:rPr>
          <w:rFonts w:ascii="Times New Roman" w:hAnsi="Times New Roman"/>
          <w:sz w:val="24"/>
          <w:szCs w:val="24"/>
          <w:u w:val="single"/>
        </w:rPr>
        <w:t>izin belgesi alınmaksızın</w:t>
      </w:r>
      <w:r w:rsidRPr="00796DCE">
        <w:rPr>
          <w:rFonts w:ascii="Times New Roman" w:hAnsi="Times New Roman"/>
          <w:sz w:val="24"/>
          <w:szCs w:val="24"/>
        </w:rPr>
        <w:t xml:space="preserve"> AB pazarına sunumu veya kullanımı yasaklanacaktır. REACH Tüzüğü EK XIV(İzne Tabi Maddeler Listesi)’de yer alan maddeleri tek başına ya da karışım içerisinde AB pazarına sunmak isteyen AB-dışı firmaların,  EK XIV’de her bir madde için belirtilen son başvuru tarihine kadar (application date) ithalatçı/ Tek Temsilcileri aracılığıyla Avrupa Kimyasallar Ajansı’na izin başvurusunda bulunmaları gerekmektedir. AB-dışında üretilen eşyalar</w:t>
      </w:r>
      <w:r>
        <w:rPr>
          <w:rFonts w:ascii="Times New Roman" w:hAnsi="Times New Roman"/>
          <w:sz w:val="24"/>
          <w:szCs w:val="24"/>
        </w:rPr>
        <w:t>,</w:t>
      </w:r>
      <w:r w:rsidRPr="00796DCE">
        <w:rPr>
          <w:rFonts w:ascii="Times New Roman" w:hAnsi="Times New Roman"/>
          <w:sz w:val="24"/>
          <w:szCs w:val="24"/>
        </w:rPr>
        <w:t xml:space="preserve"> izin başvurusundan muaf tutulmuştur. </w:t>
      </w:r>
    </w:p>
    <w:p w:rsidR="001C4592" w:rsidRPr="00796DCE" w:rsidRDefault="001C4592" w:rsidP="001C4592">
      <w:pPr>
        <w:pStyle w:val="NormalWeb"/>
        <w:spacing w:before="120" w:after="0" w:line="300" w:lineRule="auto"/>
        <w:jc w:val="both"/>
        <w:rPr>
          <w:noProof/>
        </w:rPr>
      </w:pPr>
      <w:r w:rsidRPr="00796DCE">
        <w:rPr>
          <w:noProof/>
        </w:rPr>
        <w:t>Yıllık ihracat hacminden bağımsız olarak AB pazarında sunulacak maddeler (tek başına veya karışımlar içindeki) için  yapılan izin başvuruları  m</w:t>
      </w:r>
      <w:r w:rsidRPr="00796DCE">
        <w:rPr>
          <w:noProof/>
          <w:color w:val="000000"/>
        </w:rPr>
        <w:t xml:space="preserve">addenin  </w:t>
      </w:r>
      <w:r w:rsidRPr="00796DCE">
        <w:rPr>
          <w:noProof/>
        </w:rPr>
        <w:t xml:space="preserve">risk yönetim önlemlerini </w:t>
      </w:r>
      <w:r w:rsidRPr="00796DCE">
        <w:rPr>
          <w:noProof/>
          <w:color w:val="000000"/>
        </w:rPr>
        <w:t xml:space="preserve"> içeren bir Kimyasal Güvenlik Raporu’nu  ve  </w:t>
      </w:r>
      <w:r w:rsidRPr="00796DCE">
        <w:rPr>
          <w:noProof/>
        </w:rPr>
        <w:t xml:space="preserve">olası alternatif madde/ teknolojilerle ilgili bilgileri içermelidir. Alternatif madde/ teknolojilerle ilgili analizler, uygun bir alternatif olduğunu ortaya koyuyorsa, başvuruda bir ‘ikame planı’ sunulmalı ve uygun alternatif, riskin azaltılması ile teknik ve ekonomik yapılabilirlik açısından değerlendirilmelidir. </w:t>
      </w:r>
    </w:p>
    <w:p w:rsidR="001C4592" w:rsidRPr="00796DCE" w:rsidRDefault="001C4592" w:rsidP="006761C9">
      <w:pPr>
        <w:autoSpaceDE w:val="0"/>
        <w:autoSpaceDN w:val="0"/>
        <w:adjustRightInd w:val="0"/>
        <w:spacing w:after="0"/>
        <w:jc w:val="both"/>
        <w:rPr>
          <w:rFonts w:ascii="Times New Roman" w:hAnsi="Times New Roman"/>
          <w:sz w:val="24"/>
          <w:szCs w:val="24"/>
        </w:rPr>
      </w:pPr>
      <w:r w:rsidRPr="00796DCE">
        <w:rPr>
          <w:rFonts w:ascii="Times New Roman" w:hAnsi="Times New Roman"/>
          <w:sz w:val="24"/>
          <w:szCs w:val="24"/>
        </w:rPr>
        <w:t xml:space="preserve">Uygun bir alternatif olmadığı ve riskin uygun şekilde kontrol edilebileceğinin gösterilemediği durumlarda  sosyo-ekonomik analizin izin başvurusuna dahil edilmesi zorunludur. Maddenin AB pazarındaki her bir kullanımı başına yapılan izin başvuruları ücretlendirmeye tabidir. </w:t>
      </w:r>
    </w:p>
    <w:p w:rsidR="001C4592" w:rsidRPr="00796DCE" w:rsidRDefault="001C4592" w:rsidP="006761C9">
      <w:pPr>
        <w:autoSpaceDE w:val="0"/>
        <w:autoSpaceDN w:val="0"/>
        <w:adjustRightInd w:val="0"/>
        <w:spacing w:after="0"/>
        <w:jc w:val="both"/>
        <w:rPr>
          <w:rFonts w:ascii="Times New Roman" w:hAnsi="Times New Roman"/>
          <w:sz w:val="24"/>
          <w:szCs w:val="24"/>
        </w:rPr>
      </w:pPr>
    </w:p>
    <w:p w:rsidR="001C4592" w:rsidRPr="00796DCE" w:rsidRDefault="001C4592" w:rsidP="006761C9">
      <w:pPr>
        <w:autoSpaceDE w:val="0"/>
        <w:autoSpaceDN w:val="0"/>
        <w:adjustRightInd w:val="0"/>
        <w:spacing w:after="0"/>
        <w:jc w:val="both"/>
        <w:rPr>
          <w:rFonts w:ascii="Times New Roman" w:hAnsi="Times New Roman"/>
          <w:sz w:val="24"/>
          <w:szCs w:val="24"/>
        </w:rPr>
      </w:pPr>
      <w:r w:rsidRPr="00796DCE">
        <w:rPr>
          <w:rFonts w:ascii="Times New Roman" w:hAnsi="Times New Roman"/>
          <w:sz w:val="24"/>
          <w:szCs w:val="24"/>
        </w:rPr>
        <w:t>İzin, maddenin kullanımına ilişkin bütün risklerin kontrol edildiginin kanıtlaması durumunda veya risklerin tamamen kontrol edildiginin kanıtlanamaması durumunda maddenin kullanımının sosyo-ekonomik faydalarının risklerinden daha önemli olduğunun ortaya koyulması ve ikamenin mevcut olmaması durumunda Komisyon  tarafından verilir.</w:t>
      </w:r>
    </w:p>
    <w:p w:rsidR="001C4592" w:rsidRPr="00796DCE" w:rsidRDefault="007C761E" w:rsidP="001C4592">
      <w:pPr>
        <w:pStyle w:val="NormalWeb"/>
        <w:spacing w:before="0" w:after="120" w:line="288" w:lineRule="auto"/>
        <w:jc w:val="both"/>
        <w:rPr>
          <w:b/>
          <w:noProof/>
        </w:rPr>
      </w:pPr>
      <w:r>
        <w:rPr>
          <w:b/>
          <w:noProof/>
        </w:rPr>
        <w:t xml:space="preserve">3.5- </w:t>
      </w:r>
      <w:r w:rsidR="001C4592" w:rsidRPr="00796DCE">
        <w:rPr>
          <w:b/>
          <w:noProof/>
        </w:rPr>
        <w:t>Kısıtlamalar</w:t>
      </w:r>
    </w:p>
    <w:p w:rsidR="001C4592" w:rsidRDefault="001C4592" w:rsidP="001C4592">
      <w:pPr>
        <w:jc w:val="both"/>
        <w:rPr>
          <w:rFonts w:ascii="Times New Roman" w:hAnsi="Times New Roman"/>
          <w:sz w:val="24"/>
          <w:szCs w:val="24"/>
        </w:rPr>
      </w:pPr>
      <w:r w:rsidRPr="00796DCE">
        <w:rPr>
          <w:rFonts w:ascii="Times New Roman" w:hAnsi="Times New Roman"/>
          <w:sz w:val="24"/>
          <w:szCs w:val="24"/>
        </w:rPr>
        <w:t xml:space="preserve">REACH Tüzüğü  insan sağlığına ve çevreye kabul edilemez ve topluluk genelinde risk oluşturan tehlikeli maddelerin tek başlarına, karışımlar ya da eşyalar içinde AB  pazarına </w:t>
      </w:r>
      <w:r w:rsidRPr="00796DCE">
        <w:rPr>
          <w:rFonts w:ascii="Times New Roman" w:hAnsi="Times New Roman"/>
          <w:sz w:val="24"/>
          <w:szCs w:val="24"/>
        </w:rPr>
        <w:lastRenderedPageBreak/>
        <w:t>sunumunu  kısıtlamakta ya da mevcut kısıtlamalarda değişiklikler getirebilmektedir. AB çapında maddelerin imalat, kullanım veya pazara sunumunu sonucunda risklerin yönetimi için bir güvenlik ağı görevini gören  kısıtlanmış maddeler  tüzüğün Ek XVII’sinde yer alıyor. Ürün, AB pazarına sunulmadan önce REACH Tüzüğü EK XVII‟deki tüm kısıtlama koşullarının takip edilmesi gerekmektedir. Buna ek olarak ürünlerdeki tehlikeli maddelerin kullanımını kısıtlayan diğer AB düzenlemelerinin REACH’den ayrı olarak uygulanmakta olduğu unutulmamalıdır. Örneğin, Genel Ürün Güvenliği Direktifi (2001/95/EEC), elektrik-elektronik eşyalarda Belirli Tehlikeli Maddelerin Kullanımı Kısıtlayan ürüne özel RoHS Direktifi, 88/378/EEC sayılı Oyuncak Direktifi gibi.</w:t>
      </w:r>
    </w:p>
    <w:p w:rsidR="001C4592" w:rsidRPr="00CC255E" w:rsidRDefault="001C4592" w:rsidP="001C4592">
      <w:pPr>
        <w:jc w:val="both"/>
        <w:rPr>
          <w:rFonts w:ascii="Times New Roman" w:hAnsi="Times New Roman"/>
          <w:sz w:val="24"/>
          <w:szCs w:val="24"/>
        </w:rPr>
      </w:pPr>
      <w:r w:rsidRPr="007C761E">
        <w:rPr>
          <w:rFonts w:ascii="Times New Roman" w:hAnsi="Times New Roman" w:cs="Times New Roman"/>
          <w:b/>
          <w:bCs/>
          <w:sz w:val="28"/>
          <w:szCs w:val="28"/>
        </w:rPr>
        <w:t xml:space="preserve"> </w:t>
      </w:r>
      <w:r w:rsidR="007C761E" w:rsidRPr="007C761E">
        <w:rPr>
          <w:rFonts w:ascii="Times New Roman" w:hAnsi="Times New Roman" w:cs="Times New Roman"/>
          <w:b/>
          <w:bCs/>
          <w:sz w:val="28"/>
          <w:szCs w:val="28"/>
        </w:rPr>
        <w:t>4-</w:t>
      </w:r>
      <w:r w:rsidR="007C761E">
        <w:rPr>
          <w:rFonts w:ascii="Tahoma,Bold" w:hAnsi="Tahoma,Bold" w:cs="Tahoma,Bold"/>
          <w:b/>
          <w:bCs/>
          <w:color w:val="FF0000"/>
          <w:sz w:val="20"/>
          <w:szCs w:val="20"/>
        </w:rPr>
        <w:t xml:space="preserve"> </w:t>
      </w:r>
      <w:r w:rsidRPr="00CC255E">
        <w:rPr>
          <w:rFonts w:ascii="Tahoma,Bold" w:hAnsi="Tahoma,Bold" w:cs="Tahoma,Bold"/>
          <w:b/>
          <w:bCs/>
          <w:sz w:val="24"/>
          <w:szCs w:val="24"/>
        </w:rPr>
        <w:t>T</w:t>
      </w:r>
      <w:r w:rsidR="0079769F">
        <w:rPr>
          <w:rFonts w:ascii="Tahoma,Bold" w:hAnsi="Tahoma,Bold" w:cs="Tahoma,Bold"/>
          <w:b/>
          <w:bCs/>
          <w:sz w:val="24"/>
          <w:szCs w:val="24"/>
        </w:rPr>
        <w:t>ürkiye</w:t>
      </w:r>
      <w:r w:rsidRPr="00CC255E">
        <w:rPr>
          <w:rFonts w:ascii="Tahoma,Bold" w:hAnsi="Tahoma,Bold" w:cs="Tahoma,Bold"/>
          <w:b/>
          <w:bCs/>
          <w:sz w:val="24"/>
          <w:szCs w:val="24"/>
        </w:rPr>
        <w:t xml:space="preserve"> REACH T</w:t>
      </w:r>
      <w:r w:rsidR="0079769F">
        <w:rPr>
          <w:rFonts w:ascii="Tahoma,Bold" w:hAnsi="Tahoma,Bold" w:cs="Tahoma,Bold"/>
          <w:b/>
          <w:bCs/>
          <w:sz w:val="24"/>
          <w:szCs w:val="24"/>
        </w:rPr>
        <w:t>üzüğüne</w:t>
      </w:r>
      <w:r w:rsidRPr="00CC255E">
        <w:rPr>
          <w:rFonts w:ascii="Tahoma,Bold" w:hAnsi="Tahoma,Bold" w:cs="Tahoma,Bold"/>
          <w:b/>
          <w:bCs/>
          <w:sz w:val="24"/>
          <w:szCs w:val="24"/>
        </w:rPr>
        <w:t xml:space="preserve"> U</w:t>
      </w:r>
      <w:r w:rsidR="0079769F">
        <w:rPr>
          <w:rFonts w:ascii="Tahoma,Bold" w:hAnsi="Tahoma,Bold" w:cs="Tahoma,Bold"/>
          <w:b/>
          <w:bCs/>
          <w:sz w:val="24"/>
          <w:szCs w:val="24"/>
        </w:rPr>
        <w:t>yumlu Mu</w:t>
      </w:r>
      <w:r w:rsidRPr="00CC255E">
        <w:rPr>
          <w:rFonts w:ascii="Tahoma,Bold" w:hAnsi="Tahoma,Bold" w:cs="Tahoma,Bold"/>
          <w:b/>
          <w:bCs/>
          <w:sz w:val="24"/>
          <w:szCs w:val="24"/>
        </w:rPr>
        <w:t>?</w:t>
      </w:r>
    </w:p>
    <w:p w:rsidR="001C4592" w:rsidRPr="002F0311" w:rsidRDefault="001C4592" w:rsidP="001C4592">
      <w:pPr>
        <w:spacing w:after="0"/>
        <w:jc w:val="both"/>
        <w:rPr>
          <w:rFonts w:ascii="Times New Roman" w:hAnsi="Times New Roman"/>
          <w:sz w:val="24"/>
          <w:szCs w:val="24"/>
          <w:lang w:val="en-GB"/>
        </w:rPr>
      </w:pPr>
      <w:r w:rsidRPr="002F0311">
        <w:rPr>
          <w:rFonts w:ascii="Times New Roman" w:hAnsi="Times New Roman"/>
          <w:sz w:val="24"/>
          <w:szCs w:val="24"/>
        </w:rPr>
        <w:t>REACH Tüzüğü (</w:t>
      </w:r>
      <w:r w:rsidRPr="002F0311">
        <w:rPr>
          <w:rFonts w:ascii="Times New Roman" w:hAnsi="Times New Roman"/>
          <w:sz w:val="24"/>
          <w:szCs w:val="24"/>
          <w:lang w:val="en-GB"/>
        </w:rPr>
        <w:t>1907/2006/EC)</w:t>
      </w:r>
      <w:r w:rsidRPr="002F0311">
        <w:rPr>
          <w:rFonts w:ascii="Times New Roman" w:hAnsi="Times New Roman"/>
          <w:sz w:val="24"/>
          <w:szCs w:val="24"/>
        </w:rPr>
        <w:t>, Türkiye’de henüz yürürlükte bulunmamaktadır.</w:t>
      </w:r>
      <w:r w:rsidRPr="002F0311">
        <w:rPr>
          <w:rFonts w:ascii="Times New Roman" w:hAnsi="Times New Roman"/>
          <w:sz w:val="24"/>
          <w:szCs w:val="24"/>
          <w:lang w:val="en-GB"/>
        </w:rPr>
        <w:t xml:space="preserve"> </w:t>
      </w:r>
      <w:r w:rsidRPr="002F0311">
        <w:rPr>
          <w:rFonts w:ascii="Times New Roman" w:hAnsi="Times New Roman"/>
          <w:sz w:val="24"/>
          <w:szCs w:val="24"/>
        </w:rPr>
        <w:t>REACH Tüzüğü</w:t>
      </w:r>
      <w:r w:rsidR="00F42444">
        <w:rPr>
          <w:rFonts w:ascii="Times New Roman" w:hAnsi="Times New Roman"/>
          <w:sz w:val="24"/>
          <w:szCs w:val="24"/>
        </w:rPr>
        <w:t>’</w:t>
      </w:r>
      <w:r w:rsidRPr="002F0311">
        <w:rPr>
          <w:rFonts w:ascii="Times New Roman" w:hAnsi="Times New Roman"/>
          <w:sz w:val="24"/>
          <w:szCs w:val="24"/>
        </w:rPr>
        <w:t xml:space="preserve">nün  ülkemizde uyumlaştırılması amacıyla </w:t>
      </w:r>
      <w:r w:rsidRPr="002F0311">
        <w:rPr>
          <w:rFonts w:ascii="Times New Roman" w:hAnsi="Times New Roman"/>
          <w:sz w:val="24"/>
          <w:szCs w:val="24"/>
          <w:lang w:val="en-GB"/>
        </w:rPr>
        <w:t xml:space="preserve">AB Katılım Öncesi Mali İşbirliği 2008 yılı programlaması (IPA-2008) kapsamında finanse edilen REACH Kimyasallar Projesi, Çevre ve Şehircilik Bakanlığı tarafından yürütülüyor. Sözkonusu proje ile REACH Tüzüğünün ülkemizde uygulanabilmesi için gerekli sistemlerin ve kurumsal yapının belirlenmesi, kapasitenin güçlendirilmesi, taslak mevzuatın hazırlanması, kayıt/envanter sisteminin geliştirilmesi, REACH </w:t>
      </w:r>
      <w:r w:rsidR="00F42444">
        <w:rPr>
          <w:rFonts w:ascii="Times New Roman" w:hAnsi="Times New Roman"/>
          <w:sz w:val="24"/>
          <w:szCs w:val="24"/>
          <w:lang w:val="en-GB"/>
        </w:rPr>
        <w:t>U</w:t>
      </w:r>
      <w:r w:rsidRPr="002F0311">
        <w:rPr>
          <w:rFonts w:ascii="Times New Roman" w:hAnsi="Times New Roman"/>
          <w:sz w:val="24"/>
          <w:szCs w:val="24"/>
          <w:lang w:val="en-GB"/>
        </w:rPr>
        <w:t xml:space="preserve">lusal </w:t>
      </w:r>
      <w:r w:rsidR="00F42444">
        <w:rPr>
          <w:rFonts w:ascii="Times New Roman" w:hAnsi="Times New Roman"/>
          <w:sz w:val="24"/>
          <w:szCs w:val="24"/>
          <w:lang w:val="en-GB"/>
        </w:rPr>
        <w:t>Y</w:t>
      </w:r>
      <w:r w:rsidRPr="002F0311">
        <w:rPr>
          <w:rFonts w:ascii="Times New Roman" w:hAnsi="Times New Roman"/>
          <w:sz w:val="24"/>
          <w:szCs w:val="24"/>
          <w:lang w:val="en-GB"/>
        </w:rPr>
        <w:t xml:space="preserve">ardım </w:t>
      </w:r>
      <w:r w:rsidR="00F42444">
        <w:rPr>
          <w:rFonts w:ascii="Times New Roman" w:hAnsi="Times New Roman"/>
          <w:sz w:val="24"/>
          <w:szCs w:val="24"/>
          <w:lang w:val="en-GB"/>
        </w:rPr>
        <w:t>M</w:t>
      </w:r>
      <w:r w:rsidRPr="002F0311">
        <w:rPr>
          <w:rFonts w:ascii="Times New Roman" w:hAnsi="Times New Roman"/>
          <w:sz w:val="24"/>
          <w:szCs w:val="24"/>
          <w:lang w:val="en-GB"/>
        </w:rPr>
        <w:t>asası</w:t>
      </w:r>
      <w:r w:rsidR="00F42444">
        <w:rPr>
          <w:rFonts w:ascii="Times New Roman" w:hAnsi="Times New Roman"/>
          <w:sz w:val="24"/>
          <w:szCs w:val="24"/>
          <w:lang w:val="en-GB"/>
        </w:rPr>
        <w:t>’</w:t>
      </w:r>
      <w:r w:rsidRPr="002F0311">
        <w:rPr>
          <w:rFonts w:ascii="Times New Roman" w:hAnsi="Times New Roman"/>
          <w:sz w:val="24"/>
          <w:szCs w:val="24"/>
          <w:lang w:val="en-GB"/>
        </w:rPr>
        <w:t xml:space="preserve">nın oluşturulması ve tüzüğün  ülkemizde uygulanmasına yönelik etki analizlerinin yapılmasını amaçlanmıştır. </w:t>
      </w:r>
      <w:r>
        <w:rPr>
          <w:rFonts w:ascii="Times New Roman" w:hAnsi="Times New Roman"/>
          <w:sz w:val="24"/>
          <w:szCs w:val="24"/>
          <w:lang w:val="en-GB"/>
        </w:rPr>
        <w:t>P</w:t>
      </w:r>
      <w:r w:rsidRPr="002F0311">
        <w:rPr>
          <w:rFonts w:ascii="Times New Roman" w:hAnsi="Times New Roman"/>
          <w:sz w:val="24"/>
          <w:szCs w:val="24"/>
          <w:lang w:val="en-GB"/>
        </w:rPr>
        <w:t>rojenin sonuçlarına göre Tüzüğün  ulusal mevzuata aktarımı</w:t>
      </w:r>
      <w:r>
        <w:rPr>
          <w:rFonts w:ascii="Times New Roman" w:hAnsi="Times New Roman"/>
          <w:sz w:val="24"/>
          <w:szCs w:val="24"/>
          <w:lang w:val="en-GB"/>
        </w:rPr>
        <w:t xml:space="preserve">na  </w:t>
      </w:r>
      <w:r w:rsidRPr="002F0311">
        <w:rPr>
          <w:rFonts w:ascii="Times New Roman" w:hAnsi="Times New Roman"/>
          <w:sz w:val="24"/>
          <w:szCs w:val="24"/>
          <w:lang w:val="en-GB"/>
        </w:rPr>
        <w:t>karar  verilecek.</w:t>
      </w:r>
    </w:p>
    <w:p w:rsidR="001C4592" w:rsidRDefault="001C4592" w:rsidP="001C4592">
      <w:pPr>
        <w:autoSpaceDE w:val="0"/>
        <w:autoSpaceDN w:val="0"/>
        <w:adjustRightInd w:val="0"/>
        <w:spacing w:after="0" w:line="240" w:lineRule="auto"/>
        <w:jc w:val="both"/>
        <w:rPr>
          <w:rFonts w:ascii="Times New Roman" w:hAnsi="Times New Roman"/>
          <w:color w:val="FF0000"/>
          <w:sz w:val="24"/>
          <w:szCs w:val="24"/>
        </w:rPr>
      </w:pPr>
    </w:p>
    <w:p w:rsidR="001C4592" w:rsidRPr="005F4652" w:rsidRDefault="001C4592" w:rsidP="006761C9">
      <w:pPr>
        <w:autoSpaceDE w:val="0"/>
        <w:autoSpaceDN w:val="0"/>
        <w:adjustRightInd w:val="0"/>
        <w:spacing w:after="0"/>
        <w:jc w:val="both"/>
        <w:rPr>
          <w:rFonts w:ascii="Times New Roman" w:hAnsi="Times New Roman"/>
          <w:color w:val="FF0000"/>
          <w:sz w:val="24"/>
          <w:szCs w:val="24"/>
        </w:rPr>
      </w:pPr>
      <w:r>
        <w:rPr>
          <w:rFonts w:ascii="Times New Roman" w:hAnsi="Times New Roman"/>
          <w:color w:val="000000"/>
          <w:sz w:val="24"/>
          <w:szCs w:val="24"/>
        </w:rPr>
        <w:t xml:space="preserve">REACH Tüzüğü, </w:t>
      </w:r>
      <w:r w:rsidRPr="00C1145A">
        <w:rPr>
          <w:rFonts w:ascii="Times New Roman" w:hAnsi="Times New Roman"/>
          <w:color w:val="000000"/>
          <w:sz w:val="24"/>
          <w:szCs w:val="24"/>
        </w:rPr>
        <w:t>AB</w:t>
      </w:r>
      <w:r>
        <w:rPr>
          <w:rFonts w:ascii="Times New Roman" w:hAnsi="Times New Roman"/>
          <w:color w:val="000000"/>
          <w:sz w:val="24"/>
          <w:szCs w:val="24"/>
        </w:rPr>
        <w:t xml:space="preserve">-dışı ülke konumunda yer almamız nedeniyle </w:t>
      </w:r>
      <w:r w:rsidRPr="00C1145A">
        <w:rPr>
          <w:rFonts w:ascii="Times New Roman" w:hAnsi="Times New Roman"/>
          <w:color w:val="000000"/>
          <w:sz w:val="24"/>
          <w:szCs w:val="24"/>
        </w:rPr>
        <w:t xml:space="preserve"> </w:t>
      </w:r>
      <w:r>
        <w:rPr>
          <w:rFonts w:ascii="Times New Roman" w:hAnsi="Times New Roman"/>
          <w:color w:val="000000"/>
          <w:sz w:val="24"/>
          <w:szCs w:val="24"/>
        </w:rPr>
        <w:t>ü</w:t>
      </w:r>
      <w:r w:rsidRPr="00C1145A">
        <w:rPr>
          <w:rFonts w:ascii="Times New Roman" w:hAnsi="Times New Roman"/>
          <w:color w:val="000000"/>
          <w:sz w:val="24"/>
          <w:szCs w:val="24"/>
        </w:rPr>
        <w:t>lke i</w:t>
      </w:r>
      <w:r>
        <w:rPr>
          <w:rFonts w:ascii="Times New Roman" w:hAnsi="Times New Roman"/>
          <w:color w:val="000000"/>
          <w:sz w:val="24"/>
          <w:szCs w:val="24"/>
        </w:rPr>
        <w:t>ç</w:t>
      </w:r>
      <w:r w:rsidRPr="00C1145A">
        <w:rPr>
          <w:rFonts w:ascii="Times New Roman" w:hAnsi="Times New Roman"/>
          <w:color w:val="000000"/>
          <w:sz w:val="24"/>
          <w:szCs w:val="24"/>
        </w:rPr>
        <w:t xml:space="preserve">i </w:t>
      </w:r>
      <w:r>
        <w:rPr>
          <w:rFonts w:ascii="Times New Roman" w:hAnsi="Times New Roman"/>
          <w:color w:val="000000"/>
          <w:sz w:val="24"/>
          <w:szCs w:val="24"/>
        </w:rPr>
        <w:t>ü</w:t>
      </w:r>
      <w:r w:rsidRPr="00C1145A">
        <w:rPr>
          <w:rFonts w:ascii="Times New Roman" w:hAnsi="Times New Roman"/>
          <w:color w:val="000000"/>
          <w:sz w:val="24"/>
          <w:szCs w:val="24"/>
        </w:rPr>
        <w:t>retim</w:t>
      </w:r>
      <w:r>
        <w:rPr>
          <w:rFonts w:ascii="Times New Roman" w:hAnsi="Times New Roman"/>
          <w:color w:val="000000"/>
          <w:sz w:val="24"/>
          <w:szCs w:val="24"/>
        </w:rPr>
        <w:t>e</w:t>
      </w:r>
      <w:r w:rsidRPr="00C1145A">
        <w:rPr>
          <w:rFonts w:ascii="Times New Roman" w:hAnsi="Times New Roman"/>
          <w:color w:val="000000"/>
          <w:sz w:val="24"/>
          <w:szCs w:val="24"/>
        </w:rPr>
        <w:t xml:space="preserve"> ve AB</w:t>
      </w:r>
      <w:r>
        <w:rPr>
          <w:rFonts w:ascii="Times New Roman" w:hAnsi="Times New Roman"/>
          <w:color w:val="000000"/>
          <w:sz w:val="24"/>
          <w:szCs w:val="24"/>
        </w:rPr>
        <w:t>-</w:t>
      </w:r>
      <w:r w:rsidRPr="00C1145A">
        <w:rPr>
          <w:rFonts w:ascii="Times New Roman" w:hAnsi="Times New Roman"/>
          <w:color w:val="000000"/>
          <w:sz w:val="24"/>
          <w:szCs w:val="24"/>
        </w:rPr>
        <w:t xml:space="preserve"> dışı </w:t>
      </w:r>
      <w:r>
        <w:rPr>
          <w:rFonts w:ascii="Times New Roman" w:hAnsi="Times New Roman"/>
          <w:color w:val="000000"/>
          <w:sz w:val="24"/>
          <w:szCs w:val="24"/>
        </w:rPr>
        <w:t>ü</w:t>
      </w:r>
      <w:r w:rsidRPr="00C1145A">
        <w:rPr>
          <w:rFonts w:ascii="Times New Roman" w:hAnsi="Times New Roman"/>
          <w:color w:val="000000"/>
          <w:sz w:val="24"/>
          <w:szCs w:val="24"/>
        </w:rPr>
        <w:t>lkelere</w:t>
      </w:r>
      <w:r>
        <w:rPr>
          <w:rFonts w:ascii="Times New Roman" w:hAnsi="Times New Roman"/>
          <w:color w:val="000000"/>
          <w:sz w:val="24"/>
          <w:szCs w:val="24"/>
        </w:rPr>
        <w:t xml:space="preserve"> yapılan </w:t>
      </w:r>
      <w:r w:rsidRPr="00C1145A">
        <w:rPr>
          <w:rFonts w:ascii="Times New Roman" w:hAnsi="Times New Roman"/>
          <w:color w:val="000000"/>
          <w:sz w:val="24"/>
          <w:szCs w:val="24"/>
        </w:rPr>
        <w:t>ihracat</w:t>
      </w:r>
      <w:r>
        <w:rPr>
          <w:rFonts w:ascii="Times New Roman" w:hAnsi="Times New Roman"/>
          <w:color w:val="000000"/>
          <w:sz w:val="24"/>
          <w:szCs w:val="24"/>
        </w:rPr>
        <w:t xml:space="preserve">ımızı </w:t>
      </w:r>
      <w:r w:rsidRPr="00C1145A">
        <w:rPr>
          <w:rFonts w:ascii="Times New Roman" w:hAnsi="Times New Roman"/>
          <w:color w:val="000000"/>
          <w:sz w:val="24"/>
          <w:szCs w:val="24"/>
        </w:rPr>
        <w:t>doğ</w:t>
      </w:r>
      <w:r>
        <w:rPr>
          <w:rFonts w:ascii="Times New Roman" w:hAnsi="Times New Roman"/>
          <w:color w:val="000000"/>
          <w:sz w:val="24"/>
          <w:szCs w:val="24"/>
        </w:rPr>
        <w:t xml:space="preserve">rudan </w:t>
      </w:r>
      <w:r w:rsidRPr="00C1145A">
        <w:rPr>
          <w:rFonts w:ascii="Times New Roman" w:hAnsi="Times New Roman"/>
          <w:color w:val="000000"/>
          <w:sz w:val="24"/>
          <w:szCs w:val="24"/>
        </w:rPr>
        <w:t xml:space="preserve"> etki</w:t>
      </w:r>
      <w:r>
        <w:rPr>
          <w:rFonts w:ascii="Times New Roman" w:hAnsi="Times New Roman"/>
          <w:color w:val="000000"/>
          <w:sz w:val="24"/>
          <w:szCs w:val="24"/>
        </w:rPr>
        <w:t xml:space="preserve">lememektedir. </w:t>
      </w:r>
      <w:r w:rsidRPr="00C1145A">
        <w:rPr>
          <w:rFonts w:ascii="Times New Roman" w:hAnsi="Times New Roman"/>
          <w:color w:val="000000"/>
          <w:sz w:val="24"/>
          <w:szCs w:val="24"/>
        </w:rPr>
        <w:t xml:space="preserve"> Bir başka ifadeyle, i</w:t>
      </w:r>
      <w:r>
        <w:rPr>
          <w:rFonts w:ascii="Times New Roman" w:hAnsi="Times New Roman"/>
          <w:color w:val="000000"/>
          <w:sz w:val="24"/>
          <w:szCs w:val="24"/>
        </w:rPr>
        <w:t>ç</w:t>
      </w:r>
      <w:r w:rsidRPr="00C1145A">
        <w:rPr>
          <w:rFonts w:ascii="Times New Roman" w:hAnsi="Times New Roman"/>
          <w:color w:val="000000"/>
          <w:sz w:val="24"/>
          <w:szCs w:val="24"/>
        </w:rPr>
        <w:t xml:space="preserve"> piyasaya ve </w:t>
      </w:r>
      <w:r>
        <w:rPr>
          <w:rFonts w:ascii="Times New Roman" w:hAnsi="Times New Roman"/>
          <w:color w:val="000000"/>
          <w:sz w:val="24"/>
          <w:szCs w:val="24"/>
        </w:rPr>
        <w:t>ü</w:t>
      </w:r>
      <w:r w:rsidR="0055001E">
        <w:rPr>
          <w:rFonts w:ascii="Times New Roman" w:hAnsi="Times New Roman"/>
          <w:color w:val="000000"/>
          <w:sz w:val="24"/>
          <w:szCs w:val="24"/>
        </w:rPr>
        <w:t>ç</w:t>
      </w:r>
      <w:r>
        <w:rPr>
          <w:rFonts w:ascii="Times New Roman" w:hAnsi="Times New Roman"/>
          <w:color w:val="000000"/>
          <w:sz w:val="24"/>
          <w:szCs w:val="24"/>
        </w:rPr>
        <w:t>ü</w:t>
      </w:r>
      <w:r w:rsidR="0055001E">
        <w:rPr>
          <w:rFonts w:ascii="Times New Roman" w:hAnsi="Times New Roman"/>
          <w:color w:val="000000"/>
          <w:sz w:val="24"/>
          <w:szCs w:val="24"/>
        </w:rPr>
        <w:t>nc</w:t>
      </w:r>
      <w:r>
        <w:rPr>
          <w:rFonts w:ascii="Times New Roman" w:hAnsi="Times New Roman"/>
          <w:color w:val="000000"/>
          <w:sz w:val="24"/>
          <w:szCs w:val="24"/>
        </w:rPr>
        <w:t>ü ü</w:t>
      </w:r>
      <w:r w:rsidRPr="00C1145A">
        <w:rPr>
          <w:rFonts w:ascii="Times New Roman" w:hAnsi="Times New Roman"/>
          <w:color w:val="000000"/>
          <w:sz w:val="24"/>
          <w:szCs w:val="24"/>
        </w:rPr>
        <w:t>lkelere y</w:t>
      </w:r>
      <w:r>
        <w:rPr>
          <w:rFonts w:ascii="Times New Roman" w:hAnsi="Times New Roman"/>
          <w:color w:val="000000"/>
          <w:sz w:val="24"/>
          <w:szCs w:val="24"/>
        </w:rPr>
        <w:t>ö</w:t>
      </w:r>
      <w:r w:rsidRPr="00C1145A">
        <w:rPr>
          <w:rFonts w:ascii="Times New Roman" w:hAnsi="Times New Roman"/>
          <w:color w:val="000000"/>
          <w:sz w:val="24"/>
          <w:szCs w:val="24"/>
        </w:rPr>
        <w:t xml:space="preserve">nelik </w:t>
      </w:r>
      <w:r>
        <w:rPr>
          <w:rFonts w:ascii="Times New Roman" w:hAnsi="Times New Roman"/>
          <w:color w:val="000000"/>
          <w:sz w:val="24"/>
          <w:szCs w:val="24"/>
        </w:rPr>
        <w:t>ü</w:t>
      </w:r>
      <w:r w:rsidRPr="00C1145A">
        <w:rPr>
          <w:rFonts w:ascii="Times New Roman" w:hAnsi="Times New Roman"/>
          <w:color w:val="000000"/>
          <w:sz w:val="24"/>
          <w:szCs w:val="24"/>
        </w:rPr>
        <w:t>retim yapan işletmelerin</w:t>
      </w:r>
      <w:r>
        <w:rPr>
          <w:rFonts w:ascii="Times New Roman" w:hAnsi="Times New Roman"/>
          <w:color w:val="000000"/>
          <w:sz w:val="24"/>
          <w:szCs w:val="24"/>
        </w:rPr>
        <w:t>,</w:t>
      </w:r>
      <w:r w:rsidRPr="00C1145A">
        <w:rPr>
          <w:rFonts w:ascii="Times New Roman" w:hAnsi="Times New Roman"/>
          <w:color w:val="000000"/>
          <w:sz w:val="24"/>
          <w:szCs w:val="24"/>
        </w:rPr>
        <w:t xml:space="preserve"> T</w:t>
      </w:r>
      <w:r>
        <w:rPr>
          <w:rFonts w:ascii="Times New Roman" w:hAnsi="Times New Roman"/>
          <w:color w:val="000000"/>
          <w:sz w:val="24"/>
          <w:szCs w:val="24"/>
        </w:rPr>
        <w:t>ü</w:t>
      </w:r>
      <w:r w:rsidRPr="00C1145A">
        <w:rPr>
          <w:rFonts w:ascii="Times New Roman" w:hAnsi="Times New Roman"/>
          <w:color w:val="000000"/>
          <w:sz w:val="24"/>
          <w:szCs w:val="24"/>
        </w:rPr>
        <w:t>z</w:t>
      </w:r>
      <w:r>
        <w:rPr>
          <w:rFonts w:ascii="Times New Roman" w:hAnsi="Times New Roman"/>
          <w:color w:val="000000"/>
          <w:sz w:val="24"/>
          <w:szCs w:val="24"/>
        </w:rPr>
        <w:t>ü</w:t>
      </w:r>
      <w:r w:rsidRPr="00C1145A">
        <w:rPr>
          <w:rFonts w:ascii="Times New Roman" w:hAnsi="Times New Roman"/>
          <w:color w:val="000000"/>
          <w:sz w:val="24"/>
          <w:szCs w:val="24"/>
        </w:rPr>
        <w:t>ğ</w:t>
      </w:r>
      <w:r>
        <w:rPr>
          <w:rFonts w:ascii="Times New Roman" w:hAnsi="Times New Roman"/>
          <w:color w:val="000000"/>
          <w:sz w:val="24"/>
          <w:szCs w:val="24"/>
        </w:rPr>
        <w:t>ü</w:t>
      </w:r>
      <w:r w:rsidRPr="00C1145A">
        <w:rPr>
          <w:rFonts w:ascii="Times New Roman" w:hAnsi="Times New Roman"/>
          <w:color w:val="000000"/>
          <w:sz w:val="24"/>
          <w:szCs w:val="24"/>
        </w:rPr>
        <w:t>n getirdiği koşullara uyum sağlaması gerekmiyor.</w:t>
      </w:r>
      <w:r>
        <w:rPr>
          <w:rFonts w:ascii="Times New Roman" w:hAnsi="Times New Roman"/>
          <w:color w:val="000000"/>
          <w:sz w:val="24"/>
          <w:szCs w:val="24"/>
        </w:rPr>
        <w:t xml:space="preserve"> AB ü</w:t>
      </w:r>
      <w:r w:rsidRPr="00C1145A">
        <w:rPr>
          <w:rFonts w:ascii="Times New Roman" w:hAnsi="Times New Roman"/>
          <w:color w:val="000000"/>
          <w:sz w:val="24"/>
          <w:szCs w:val="24"/>
        </w:rPr>
        <w:t>lkelerine</w:t>
      </w:r>
      <w:r>
        <w:rPr>
          <w:rFonts w:ascii="Times New Roman" w:hAnsi="Times New Roman"/>
          <w:color w:val="000000"/>
          <w:sz w:val="24"/>
          <w:szCs w:val="24"/>
        </w:rPr>
        <w:t xml:space="preserve"> (+Norveç, Lihtenştayn, İzlanda) madde, karışım ve eşya türü ürünlerin </w:t>
      </w:r>
      <w:r w:rsidRPr="00C1145A">
        <w:rPr>
          <w:rFonts w:ascii="Times New Roman" w:hAnsi="Times New Roman"/>
          <w:color w:val="000000"/>
          <w:sz w:val="24"/>
          <w:szCs w:val="24"/>
        </w:rPr>
        <w:t>ihracat</w:t>
      </w:r>
      <w:r>
        <w:rPr>
          <w:rFonts w:ascii="Times New Roman" w:hAnsi="Times New Roman"/>
          <w:color w:val="000000"/>
          <w:sz w:val="24"/>
          <w:szCs w:val="24"/>
        </w:rPr>
        <w:t>larında</w:t>
      </w:r>
      <w:r w:rsidRPr="00C1145A">
        <w:rPr>
          <w:rFonts w:ascii="Times New Roman" w:hAnsi="Times New Roman"/>
          <w:color w:val="000000"/>
          <w:sz w:val="24"/>
          <w:szCs w:val="24"/>
        </w:rPr>
        <w:t xml:space="preserve"> </w:t>
      </w:r>
      <w:r>
        <w:rPr>
          <w:rFonts w:ascii="Times New Roman" w:hAnsi="Times New Roman"/>
          <w:color w:val="000000"/>
          <w:sz w:val="24"/>
          <w:szCs w:val="24"/>
        </w:rPr>
        <w:t>REACH Tü</w:t>
      </w:r>
      <w:r w:rsidRPr="00C1145A">
        <w:rPr>
          <w:rFonts w:ascii="Times New Roman" w:hAnsi="Times New Roman"/>
          <w:color w:val="000000"/>
          <w:sz w:val="24"/>
          <w:szCs w:val="24"/>
        </w:rPr>
        <w:t>z</w:t>
      </w:r>
      <w:r>
        <w:rPr>
          <w:rFonts w:ascii="Times New Roman" w:hAnsi="Times New Roman"/>
          <w:color w:val="000000"/>
          <w:sz w:val="24"/>
          <w:szCs w:val="24"/>
        </w:rPr>
        <w:t xml:space="preserve">üğü </w:t>
      </w:r>
      <w:r w:rsidRPr="00C1145A">
        <w:rPr>
          <w:rFonts w:ascii="Times New Roman" w:hAnsi="Times New Roman"/>
          <w:color w:val="000000"/>
          <w:sz w:val="24"/>
          <w:szCs w:val="24"/>
        </w:rPr>
        <w:t>kapsamında</w:t>
      </w:r>
      <w:r>
        <w:rPr>
          <w:rFonts w:ascii="Times New Roman" w:hAnsi="Times New Roman"/>
          <w:color w:val="000000"/>
          <w:sz w:val="24"/>
          <w:szCs w:val="24"/>
        </w:rPr>
        <w:t xml:space="preserve"> kayıt, tedarik zincirinde bilgi iletimi, izin ve kısıtlamalara konu maddelerle ilgili yükümlülüklerin tespit edilerek yerine getirilmesi gerekiyor</w:t>
      </w:r>
      <w:r w:rsidRPr="00C1145A">
        <w:rPr>
          <w:rFonts w:ascii="Times New Roman" w:hAnsi="Times New Roman"/>
          <w:color w:val="000000"/>
          <w:sz w:val="24"/>
          <w:szCs w:val="24"/>
        </w:rPr>
        <w:t>.</w:t>
      </w:r>
      <w:r>
        <w:rPr>
          <w:rFonts w:ascii="Times New Roman" w:hAnsi="Times New Roman"/>
          <w:color w:val="000000"/>
          <w:sz w:val="24"/>
          <w:szCs w:val="24"/>
        </w:rPr>
        <w:t xml:space="preserve"> Tü</w:t>
      </w:r>
      <w:r w:rsidRPr="00C1145A">
        <w:rPr>
          <w:rFonts w:ascii="Times New Roman" w:hAnsi="Times New Roman"/>
          <w:color w:val="000000"/>
          <w:sz w:val="24"/>
          <w:szCs w:val="24"/>
        </w:rPr>
        <w:t>rkiye’de</w:t>
      </w:r>
      <w:r>
        <w:rPr>
          <w:rFonts w:ascii="Times New Roman" w:hAnsi="Times New Roman"/>
          <w:color w:val="FF0000"/>
          <w:sz w:val="24"/>
          <w:szCs w:val="24"/>
        </w:rPr>
        <w:t xml:space="preserve"> </w:t>
      </w:r>
      <w:r w:rsidRPr="00C1145A">
        <w:rPr>
          <w:rFonts w:ascii="Times New Roman" w:hAnsi="Times New Roman"/>
          <w:color w:val="000000"/>
          <w:sz w:val="24"/>
          <w:szCs w:val="24"/>
        </w:rPr>
        <w:t>faaliyet g</w:t>
      </w:r>
      <w:r>
        <w:rPr>
          <w:rFonts w:ascii="Times New Roman" w:hAnsi="Times New Roman"/>
          <w:color w:val="000000"/>
          <w:sz w:val="24"/>
          <w:szCs w:val="24"/>
        </w:rPr>
        <w:t>ö</w:t>
      </w:r>
      <w:r w:rsidRPr="00C1145A">
        <w:rPr>
          <w:rFonts w:ascii="Times New Roman" w:hAnsi="Times New Roman"/>
          <w:color w:val="000000"/>
          <w:sz w:val="24"/>
          <w:szCs w:val="24"/>
        </w:rPr>
        <w:t>steren işletmeler, kayıt iş</w:t>
      </w:r>
      <w:r>
        <w:rPr>
          <w:rFonts w:ascii="Times New Roman" w:hAnsi="Times New Roman"/>
          <w:color w:val="000000"/>
          <w:sz w:val="24"/>
          <w:szCs w:val="24"/>
        </w:rPr>
        <w:t>lemlerini,</w:t>
      </w:r>
      <w:r w:rsidRPr="00C1145A">
        <w:rPr>
          <w:rFonts w:ascii="Times New Roman" w:hAnsi="Times New Roman"/>
          <w:color w:val="000000"/>
          <w:sz w:val="24"/>
          <w:szCs w:val="24"/>
        </w:rPr>
        <w:t xml:space="preserve"> İstanbul Kimyevi Maddeler ve Mamuller İhracatcıları</w:t>
      </w:r>
      <w:r>
        <w:rPr>
          <w:rFonts w:ascii="Times New Roman" w:hAnsi="Times New Roman"/>
          <w:color w:val="FF0000"/>
          <w:sz w:val="24"/>
          <w:szCs w:val="24"/>
        </w:rPr>
        <w:t xml:space="preserve"> </w:t>
      </w:r>
      <w:r w:rsidRPr="00C1145A">
        <w:rPr>
          <w:rFonts w:ascii="Times New Roman" w:hAnsi="Times New Roman"/>
          <w:color w:val="000000"/>
          <w:sz w:val="24"/>
          <w:szCs w:val="24"/>
        </w:rPr>
        <w:t>Birliği’nin (İKMİB) AB’de kurmuş olduğu Tek Temsilcilik kanalı ile ger</w:t>
      </w:r>
      <w:r>
        <w:rPr>
          <w:rFonts w:ascii="Times New Roman" w:hAnsi="Times New Roman"/>
          <w:color w:val="000000"/>
          <w:sz w:val="24"/>
          <w:szCs w:val="24"/>
        </w:rPr>
        <w:t>ç</w:t>
      </w:r>
      <w:r w:rsidRPr="00C1145A">
        <w:rPr>
          <w:rFonts w:ascii="Times New Roman" w:hAnsi="Times New Roman"/>
          <w:color w:val="000000"/>
          <w:sz w:val="24"/>
          <w:szCs w:val="24"/>
        </w:rPr>
        <w:t>ekleştirebiliyorlar.</w:t>
      </w:r>
    </w:p>
    <w:p w:rsidR="001C4592" w:rsidRDefault="001C4592" w:rsidP="006761C9">
      <w:pPr>
        <w:autoSpaceDE w:val="0"/>
        <w:autoSpaceDN w:val="0"/>
        <w:adjustRightInd w:val="0"/>
        <w:spacing w:after="0"/>
        <w:jc w:val="both"/>
        <w:rPr>
          <w:rFonts w:ascii="Times New Roman" w:hAnsi="Times New Roman"/>
          <w:color w:val="000000"/>
          <w:sz w:val="24"/>
          <w:szCs w:val="24"/>
        </w:rPr>
      </w:pPr>
    </w:p>
    <w:p w:rsidR="001C4592" w:rsidRPr="00C1145A" w:rsidRDefault="001C4592" w:rsidP="006761C9">
      <w:pPr>
        <w:autoSpaceDE w:val="0"/>
        <w:autoSpaceDN w:val="0"/>
        <w:adjustRightInd w:val="0"/>
        <w:spacing w:after="0"/>
        <w:jc w:val="both"/>
        <w:rPr>
          <w:rFonts w:ascii="Times New Roman" w:hAnsi="Times New Roman"/>
          <w:color w:val="000000"/>
          <w:sz w:val="24"/>
          <w:szCs w:val="24"/>
        </w:rPr>
      </w:pPr>
      <w:r w:rsidRPr="00C1145A">
        <w:rPr>
          <w:rFonts w:ascii="Times New Roman" w:hAnsi="Times New Roman"/>
          <w:color w:val="000000"/>
          <w:sz w:val="24"/>
          <w:szCs w:val="24"/>
        </w:rPr>
        <w:t>T</w:t>
      </w:r>
      <w:r>
        <w:rPr>
          <w:rFonts w:ascii="Times New Roman" w:hAnsi="Times New Roman"/>
          <w:color w:val="000000"/>
          <w:sz w:val="24"/>
          <w:szCs w:val="24"/>
        </w:rPr>
        <w:t>ü</w:t>
      </w:r>
      <w:r w:rsidRPr="00C1145A">
        <w:rPr>
          <w:rFonts w:ascii="Times New Roman" w:hAnsi="Times New Roman"/>
          <w:color w:val="000000"/>
          <w:sz w:val="24"/>
          <w:szCs w:val="24"/>
        </w:rPr>
        <w:t xml:space="preserve">rkiye’de piyasaya arz edilen tehlikeli madde ve karışımların insan sağlığı ve </w:t>
      </w:r>
      <w:r>
        <w:rPr>
          <w:rFonts w:ascii="Times New Roman" w:hAnsi="Times New Roman"/>
          <w:color w:val="000000"/>
          <w:sz w:val="24"/>
          <w:szCs w:val="24"/>
        </w:rPr>
        <w:t>ç</w:t>
      </w:r>
      <w:r w:rsidRPr="00C1145A">
        <w:rPr>
          <w:rFonts w:ascii="Times New Roman" w:hAnsi="Times New Roman"/>
          <w:color w:val="000000"/>
          <w:sz w:val="24"/>
          <w:szCs w:val="24"/>
        </w:rPr>
        <w:t xml:space="preserve">evre </w:t>
      </w:r>
      <w:r>
        <w:rPr>
          <w:rFonts w:ascii="Times New Roman" w:hAnsi="Times New Roman"/>
          <w:color w:val="000000"/>
          <w:sz w:val="24"/>
          <w:szCs w:val="24"/>
        </w:rPr>
        <w:t>üz</w:t>
      </w:r>
      <w:r w:rsidRPr="00C1145A">
        <w:rPr>
          <w:rFonts w:ascii="Times New Roman" w:hAnsi="Times New Roman"/>
          <w:color w:val="000000"/>
          <w:sz w:val="24"/>
          <w:szCs w:val="24"/>
        </w:rPr>
        <w:t>erinde</w:t>
      </w:r>
    </w:p>
    <w:p w:rsidR="001C4592" w:rsidRDefault="001C4592" w:rsidP="006761C9">
      <w:pPr>
        <w:autoSpaceDE w:val="0"/>
        <w:autoSpaceDN w:val="0"/>
        <w:adjustRightInd w:val="0"/>
        <w:spacing w:after="0"/>
        <w:jc w:val="both"/>
        <w:rPr>
          <w:rFonts w:ascii="Times New Roman" w:hAnsi="Times New Roman"/>
          <w:color w:val="000000"/>
          <w:sz w:val="24"/>
          <w:szCs w:val="24"/>
        </w:rPr>
      </w:pPr>
      <w:r w:rsidRPr="00C1145A">
        <w:rPr>
          <w:rFonts w:ascii="Times New Roman" w:hAnsi="Times New Roman"/>
          <w:color w:val="000000"/>
          <w:sz w:val="24"/>
          <w:szCs w:val="24"/>
        </w:rPr>
        <w:t>yonetmelikler ile sağlanıyor. Bazı Tehlikeli Maddelerin, M</w:t>
      </w:r>
      <w:r>
        <w:rPr>
          <w:rFonts w:ascii="Times New Roman" w:hAnsi="Times New Roman"/>
          <w:color w:val="000000"/>
          <w:sz w:val="24"/>
          <w:szCs w:val="24"/>
        </w:rPr>
        <w:t>ü</w:t>
      </w:r>
      <w:r w:rsidRPr="00C1145A">
        <w:rPr>
          <w:rFonts w:ascii="Times New Roman" w:hAnsi="Times New Roman"/>
          <w:color w:val="000000"/>
          <w:sz w:val="24"/>
          <w:szCs w:val="24"/>
        </w:rPr>
        <w:t xml:space="preserve">stahzarların ve Eşyaların </w:t>
      </w:r>
      <w:r>
        <w:rPr>
          <w:rFonts w:ascii="Times New Roman" w:hAnsi="Times New Roman"/>
          <w:color w:val="000000"/>
          <w:sz w:val="24"/>
          <w:szCs w:val="24"/>
        </w:rPr>
        <w:t>Ü</w:t>
      </w:r>
      <w:r w:rsidRPr="00C1145A">
        <w:rPr>
          <w:rFonts w:ascii="Times New Roman" w:hAnsi="Times New Roman"/>
          <w:color w:val="000000"/>
          <w:sz w:val="24"/>
          <w:szCs w:val="24"/>
        </w:rPr>
        <w:t>retimine,</w:t>
      </w:r>
      <w:r>
        <w:rPr>
          <w:rFonts w:ascii="Times New Roman" w:hAnsi="Times New Roman"/>
          <w:color w:val="000000"/>
          <w:sz w:val="24"/>
          <w:szCs w:val="24"/>
        </w:rPr>
        <w:t xml:space="preserve"> </w:t>
      </w:r>
      <w:r w:rsidRPr="00C1145A">
        <w:rPr>
          <w:rFonts w:ascii="Times New Roman" w:hAnsi="Times New Roman"/>
          <w:color w:val="000000"/>
          <w:sz w:val="24"/>
          <w:szCs w:val="24"/>
        </w:rPr>
        <w:t>Piyasaya Arzına ve Kullanımına İlişkin Kısıtlamalar Hakkında Y</w:t>
      </w:r>
      <w:r>
        <w:rPr>
          <w:rFonts w:ascii="Times New Roman" w:hAnsi="Times New Roman"/>
          <w:color w:val="000000"/>
          <w:sz w:val="24"/>
          <w:szCs w:val="24"/>
        </w:rPr>
        <w:t>ö</w:t>
      </w:r>
      <w:r w:rsidRPr="00C1145A">
        <w:rPr>
          <w:rFonts w:ascii="Times New Roman" w:hAnsi="Times New Roman"/>
          <w:color w:val="000000"/>
          <w:sz w:val="24"/>
          <w:szCs w:val="24"/>
        </w:rPr>
        <w:t>netmelik; Kimyasalların Envanteri ve</w:t>
      </w:r>
      <w:r>
        <w:rPr>
          <w:rFonts w:ascii="Times New Roman" w:hAnsi="Times New Roman"/>
          <w:color w:val="000000"/>
          <w:sz w:val="24"/>
          <w:szCs w:val="24"/>
        </w:rPr>
        <w:t xml:space="preserve"> </w:t>
      </w:r>
      <w:r w:rsidRPr="00C1145A">
        <w:rPr>
          <w:rFonts w:ascii="Times New Roman" w:hAnsi="Times New Roman"/>
          <w:color w:val="000000"/>
          <w:sz w:val="24"/>
          <w:szCs w:val="24"/>
        </w:rPr>
        <w:t>Kontrol</w:t>
      </w:r>
      <w:r>
        <w:rPr>
          <w:rFonts w:ascii="Times New Roman" w:hAnsi="Times New Roman"/>
          <w:color w:val="000000"/>
          <w:sz w:val="24"/>
          <w:szCs w:val="24"/>
        </w:rPr>
        <w:t>ü</w:t>
      </w:r>
      <w:r w:rsidRPr="00C1145A">
        <w:rPr>
          <w:rFonts w:ascii="Times New Roman" w:hAnsi="Times New Roman"/>
          <w:color w:val="000000"/>
          <w:sz w:val="24"/>
          <w:szCs w:val="24"/>
        </w:rPr>
        <w:t xml:space="preserve"> Hakkında Y</w:t>
      </w:r>
      <w:r>
        <w:rPr>
          <w:rFonts w:ascii="Times New Roman" w:hAnsi="Times New Roman"/>
          <w:color w:val="000000"/>
          <w:sz w:val="24"/>
          <w:szCs w:val="24"/>
        </w:rPr>
        <w:t>ö</w:t>
      </w:r>
      <w:r w:rsidRPr="00C1145A">
        <w:rPr>
          <w:rFonts w:ascii="Times New Roman" w:hAnsi="Times New Roman"/>
          <w:color w:val="000000"/>
          <w:sz w:val="24"/>
          <w:szCs w:val="24"/>
        </w:rPr>
        <w:t>netmelik; Tehlikeli Maddeler ve M</w:t>
      </w:r>
      <w:r>
        <w:rPr>
          <w:rFonts w:ascii="Times New Roman" w:hAnsi="Times New Roman"/>
          <w:color w:val="000000"/>
          <w:sz w:val="24"/>
          <w:szCs w:val="24"/>
        </w:rPr>
        <w:t>ü</w:t>
      </w:r>
      <w:r w:rsidRPr="00C1145A">
        <w:rPr>
          <w:rFonts w:ascii="Times New Roman" w:hAnsi="Times New Roman"/>
          <w:color w:val="000000"/>
          <w:sz w:val="24"/>
          <w:szCs w:val="24"/>
        </w:rPr>
        <w:t>stahzarlara İlişkin G</w:t>
      </w:r>
      <w:r>
        <w:rPr>
          <w:rFonts w:ascii="Times New Roman" w:hAnsi="Times New Roman"/>
          <w:color w:val="000000"/>
          <w:sz w:val="24"/>
          <w:szCs w:val="24"/>
        </w:rPr>
        <w:t>ü</w:t>
      </w:r>
      <w:r w:rsidRPr="00C1145A">
        <w:rPr>
          <w:rFonts w:ascii="Times New Roman" w:hAnsi="Times New Roman"/>
          <w:color w:val="000000"/>
          <w:sz w:val="24"/>
          <w:szCs w:val="24"/>
        </w:rPr>
        <w:t>venlik Bilgi Formlarının</w:t>
      </w:r>
      <w:r>
        <w:rPr>
          <w:rFonts w:ascii="Times New Roman" w:hAnsi="Times New Roman"/>
          <w:color w:val="000000"/>
          <w:sz w:val="24"/>
          <w:szCs w:val="24"/>
        </w:rPr>
        <w:t xml:space="preserve"> </w:t>
      </w:r>
      <w:r w:rsidRPr="00C1145A">
        <w:rPr>
          <w:rFonts w:ascii="Times New Roman" w:hAnsi="Times New Roman"/>
          <w:color w:val="000000"/>
          <w:sz w:val="24"/>
          <w:szCs w:val="24"/>
        </w:rPr>
        <w:t>Hazırlanması ve Dağıtılması Hakkında Y</w:t>
      </w:r>
      <w:r>
        <w:rPr>
          <w:rFonts w:ascii="Times New Roman" w:hAnsi="Times New Roman"/>
          <w:color w:val="000000"/>
          <w:sz w:val="24"/>
          <w:szCs w:val="24"/>
        </w:rPr>
        <w:t>ö</w:t>
      </w:r>
      <w:r w:rsidRPr="00C1145A">
        <w:rPr>
          <w:rFonts w:ascii="Times New Roman" w:hAnsi="Times New Roman"/>
          <w:color w:val="000000"/>
          <w:sz w:val="24"/>
          <w:szCs w:val="24"/>
        </w:rPr>
        <w:t>netmelik; Tehlikeli Maddelerin ve M</w:t>
      </w:r>
      <w:r>
        <w:rPr>
          <w:rFonts w:ascii="Times New Roman" w:hAnsi="Times New Roman"/>
          <w:color w:val="000000"/>
          <w:sz w:val="24"/>
          <w:szCs w:val="24"/>
        </w:rPr>
        <w:t>ü</w:t>
      </w:r>
      <w:r w:rsidRPr="00C1145A">
        <w:rPr>
          <w:rFonts w:ascii="Times New Roman" w:hAnsi="Times New Roman"/>
          <w:color w:val="000000"/>
          <w:sz w:val="24"/>
          <w:szCs w:val="24"/>
        </w:rPr>
        <w:t>stahzarların</w:t>
      </w:r>
      <w:r>
        <w:rPr>
          <w:rFonts w:ascii="Times New Roman" w:hAnsi="Times New Roman"/>
          <w:color w:val="000000"/>
          <w:sz w:val="24"/>
          <w:szCs w:val="24"/>
        </w:rPr>
        <w:t xml:space="preserve"> </w:t>
      </w:r>
      <w:r w:rsidRPr="00C1145A">
        <w:rPr>
          <w:rFonts w:ascii="Times New Roman" w:hAnsi="Times New Roman"/>
          <w:color w:val="000000"/>
          <w:sz w:val="24"/>
          <w:szCs w:val="24"/>
        </w:rPr>
        <w:t>Sınıflandırılması, Ambalajlanması ve Etiketlenmesi Hakkında Y</w:t>
      </w:r>
      <w:r>
        <w:rPr>
          <w:rFonts w:ascii="Times New Roman" w:hAnsi="Times New Roman"/>
          <w:color w:val="000000"/>
          <w:sz w:val="24"/>
          <w:szCs w:val="24"/>
        </w:rPr>
        <w:t>ö</w:t>
      </w:r>
      <w:r w:rsidRPr="00C1145A">
        <w:rPr>
          <w:rFonts w:ascii="Times New Roman" w:hAnsi="Times New Roman"/>
          <w:color w:val="000000"/>
          <w:sz w:val="24"/>
          <w:szCs w:val="24"/>
        </w:rPr>
        <w:t>netmelik bu kapsamda yer alıyor.</w:t>
      </w:r>
      <w:r>
        <w:rPr>
          <w:rFonts w:ascii="Times New Roman" w:hAnsi="Times New Roman"/>
          <w:color w:val="000000"/>
          <w:sz w:val="24"/>
          <w:szCs w:val="24"/>
        </w:rPr>
        <w:t xml:space="preserve"> </w:t>
      </w:r>
      <w:r w:rsidRPr="00C1145A">
        <w:rPr>
          <w:rFonts w:ascii="Times New Roman" w:hAnsi="Times New Roman"/>
          <w:color w:val="000000"/>
          <w:sz w:val="24"/>
          <w:szCs w:val="24"/>
        </w:rPr>
        <w:t xml:space="preserve">Yılda 1 ton ve uzeri miktarda kimyasal madde </w:t>
      </w:r>
      <w:r>
        <w:rPr>
          <w:rFonts w:ascii="Times New Roman" w:hAnsi="Times New Roman"/>
          <w:color w:val="000000"/>
          <w:sz w:val="24"/>
          <w:szCs w:val="24"/>
        </w:rPr>
        <w:t>ü</w:t>
      </w:r>
      <w:r w:rsidRPr="00C1145A">
        <w:rPr>
          <w:rFonts w:ascii="Times New Roman" w:hAnsi="Times New Roman"/>
          <w:color w:val="000000"/>
          <w:sz w:val="24"/>
          <w:szCs w:val="24"/>
        </w:rPr>
        <w:t>reten ve ithal eden t</w:t>
      </w:r>
      <w:r>
        <w:rPr>
          <w:rFonts w:ascii="Times New Roman" w:hAnsi="Times New Roman"/>
          <w:color w:val="000000"/>
          <w:sz w:val="24"/>
          <w:szCs w:val="24"/>
        </w:rPr>
        <w:t>ü</w:t>
      </w:r>
      <w:r w:rsidRPr="00C1145A">
        <w:rPr>
          <w:rFonts w:ascii="Times New Roman" w:hAnsi="Times New Roman"/>
          <w:color w:val="000000"/>
          <w:sz w:val="24"/>
          <w:szCs w:val="24"/>
        </w:rPr>
        <w:t xml:space="preserve">m </w:t>
      </w:r>
      <w:r>
        <w:rPr>
          <w:rFonts w:ascii="Times New Roman" w:hAnsi="Times New Roman"/>
          <w:color w:val="000000"/>
          <w:sz w:val="24"/>
          <w:szCs w:val="24"/>
        </w:rPr>
        <w:t>ü</w:t>
      </w:r>
      <w:r w:rsidRPr="00C1145A">
        <w:rPr>
          <w:rFonts w:ascii="Times New Roman" w:hAnsi="Times New Roman"/>
          <w:color w:val="000000"/>
          <w:sz w:val="24"/>
          <w:szCs w:val="24"/>
        </w:rPr>
        <w:t>reticilerin ve ithalatcıların,</w:t>
      </w:r>
      <w:r>
        <w:rPr>
          <w:rFonts w:ascii="Times New Roman" w:hAnsi="Times New Roman"/>
          <w:color w:val="000000"/>
          <w:sz w:val="24"/>
          <w:szCs w:val="24"/>
        </w:rPr>
        <w:t xml:space="preserve"> Ç</w:t>
      </w:r>
      <w:r w:rsidRPr="00C1145A">
        <w:rPr>
          <w:rFonts w:ascii="Times New Roman" w:hAnsi="Times New Roman"/>
          <w:color w:val="000000"/>
          <w:sz w:val="24"/>
          <w:szCs w:val="24"/>
        </w:rPr>
        <w:t>evre ve Şehircilik Bakanlığı tarafından oluşturulan Kimyasallar Veri Bankası’na bildirim yapma</w:t>
      </w:r>
      <w:r>
        <w:rPr>
          <w:rFonts w:ascii="Times New Roman" w:hAnsi="Times New Roman"/>
          <w:color w:val="000000"/>
          <w:sz w:val="24"/>
          <w:szCs w:val="24"/>
        </w:rPr>
        <w:t xml:space="preserve"> </w:t>
      </w:r>
      <w:r w:rsidRPr="00C1145A">
        <w:rPr>
          <w:rFonts w:ascii="Times New Roman" w:hAnsi="Times New Roman"/>
          <w:color w:val="000000"/>
          <w:sz w:val="24"/>
          <w:szCs w:val="24"/>
        </w:rPr>
        <w:t>y</w:t>
      </w:r>
      <w:r>
        <w:rPr>
          <w:rFonts w:ascii="Times New Roman" w:hAnsi="Times New Roman"/>
          <w:color w:val="000000"/>
          <w:sz w:val="24"/>
          <w:szCs w:val="24"/>
        </w:rPr>
        <w:t>ü</w:t>
      </w:r>
      <w:r w:rsidRPr="00C1145A">
        <w:rPr>
          <w:rFonts w:ascii="Times New Roman" w:hAnsi="Times New Roman"/>
          <w:color w:val="000000"/>
          <w:sz w:val="24"/>
          <w:szCs w:val="24"/>
        </w:rPr>
        <w:t>k</w:t>
      </w:r>
      <w:r>
        <w:rPr>
          <w:rFonts w:ascii="Times New Roman" w:hAnsi="Times New Roman"/>
          <w:color w:val="000000"/>
          <w:sz w:val="24"/>
          <w:szCs w:val="24"/>
        </w:rPr>
        <w:t>ü</w:t>
      </w:r>
      <w:r w:rsidRPr="00C1145A">
        <w:rPr>
          <w:rFonts w:ascii="Times New Roman" w:hAnsi="Times New Roman"/>
          <w:color w:val="000000"/>
          <w:sz w:val="24"/>
          <w:szCs w:val="24"/>
        </w:rPr>
        <w:t>ml</w:t>
      </w:r>
      <w:r>
        <w:rPr>
          <w:rFonts w:ascii="Times New Roman" w:hAnsi="Times New Roman"/>
          <w:color w:val="000000"/>
          <w:sz w:val="24"/>
          <w:szCs w:val="24"/>
        </w:rPr>
        <w:t>ü</w:t>
      </w:r>
      <w:r w:rsidRPr="00C1145A">
        <w:rPr>
          <w:rFonts w:ascii="Times New Roman" w:hAnsi="Times New Roman"/>
          <w:color w:val="000000"/>
          <w:sz w:val="24"/>
          <w:szCs w:val="24"/>
        </w:rPr>
        <w:t>l</w:t>
      </w:r>
      <w:r>
        <w:rPr>
          <w:rFonts w:ascii="Times New Roman" w:hAnsi="Times New Roman"/>
          <w:color w:val="000000"/>
          <w:sz w:val="24"/>
          <w:szCs w:val="24"/>
        </w:rPr>
        <w:t>ü</w:t>
      </w:r>
      <w:r w:rsidRPr="00C1145A">
        <w:rPr>
          <w:rFonts w:ascii="Times New Roman" w:hAnsi="Times New Roman"/>
          <w:color w:val="000000"/>
          <w:sz w:val="24"/>
          <w:szCs w:val="24"/>
        </w:rPr>
        <w:t>ğ</w:t>
      </w:r>
      <w:r>
        <w:rPr>
          <w:rFonts w:ascii="Times New Roman" w:hAnsi="Times New Roman"/>
          <w:color w:val="000000"/>
          <w:sz w:val="24"/>
          <w:szCs w:val="24"/>
        </w:rPr>
        <w:t>ü</w:t>
      </w:r>
      <w:r w:rsidRPr="00C1145A">
        <w:rPr>
          <w:rFonts w:ascii="Times New Roman" w:hAnsi="Times New Roman"/>
          <w:color w:val="000000"/>
          <w:sz w:val="24"/>
          <w:szCs w:val="24"/>
        </w:rPr>
        <w:t xml:space="preserve"> bulunuyor. Bu yolla bir envanter oluşturularak, kimyasalların insan sağlığı ve </w:t>
      </w:r>
      <w:r>
        <w:rPr>
          <w:rFonts w:ascii="Times New Roman" w:hAnsi="Times New Roman"/>
          <w:color w:val="000000"/>
          <w:sz w:val="24"/>
          <w:szCs w:val="24"/>
        </w:rPr>
        <w:t>ç</w:t>
      </w:r>
      <w:r w:rsidRPr="00C1145A">
        <w:rPr>
          <w:rFonts w:ascii="Times New Roman" w:hAnsi="Times New Roman"/>
          <w:color w:val="000000"/>
          <w:sz w:val="24"/>
          <w:szCs w:val="24"/>
        </w:rPr>
        <w:t>evre</w:t>
      </w:r>
      <w:r>
        <w:rPr>
          <w:rFonts w:ascii="Times New Roman" w:hAnsi="Times New Roman"/>
          <w:color w:val="000000"/>
          <w:sz w:val="24"/>
          <w:szCs w:val="24"/>
        </w:rPr>
        <w:t xml:space="preserve"> ü</w:t>
      </w:r>
      <w:r w:rsidRPr="00C1145A">
        <w:rPr>
          <w:rFonts w:ascii="Times New Roman" w:hAnsi="Times New Roman"/>
          <w:color w:val="000000"/>
          <w:sz w:val="24"/>
          <w:szCs w:val="24"/>
        </w:rPr>
        <w:t>zerindeki olası olumsuz etkilerine karşı etkin koruma ve kontrol sağlanması hedefleniyor.</w:t>
      </w:r>
    </w:p>
    <w:p w:rsidR="001C4592" w:rsidRDefault="001C4592" w:rsidP="001C4592">
      <w:pPr>
        <w:autoSpaceDE w:val="0"/>
        <w:autoSpaceDN w:val="0"/>
        <w:adjustRightInd w:val="0"/>
        <w:spacing w:after="0" w:line="240" w:lineRule="auto"/>
        <w:jc w:val="both"/>
        <w:rPr>
          <w:rFonts w:ascii="Times New Roman" w:hAnsi="Times New Roman"/>
          <w:color w:val="000000"/>
          <w:sz w:val="24"/>
          <w:szCs w:val="24"/>
        </w:rPr>
      </w:pPr>
    </w:p>
    <w:p w:rsidR="001F6D8E" w:rsidRDefault="00886E34" w:rsidP="001F6D8E">
      <w:pPr>
        <w:rPr>
          <w:rFonts w:ascii="Times New Roman" w:hAnsi="Times New Roman"/>
          <w:b/>
          <w:sz w:val="28"/>
          <w:szCs w:val="28"/>
        </w:rPr>
      </w:pPr>
      <w:r>
        <w:rPr>
          <w:rFonts w:ascii="Times New Roman" w:hAnsi="Times New Roman"/>
          <w:b/>
          <w:sz w:val="28"/>
          <w:szCs w:val="28"/>
        </w:rPr>
        <w:lastRenderedPageBreak/>
        <w:t xml:space="preserve">5- </w:t>
      </w:r>
      <w:r w:rsidR="001F6D8E" w:rsidRPr="00D26708">
        <w:rPr>
          <w:rFonts w:ascii="Times New Roman" w:hAnsi="Times New Roman"/>
          <w:b/>
          <w:sz w:val="28"/>
          <w:szCs w:val="28"/>
        </w:rPr>
        <w:t>CLP Tüzüğü ve Türkiye’de Uyumlaştırma Çalışmaları</w:t>
      </w:r>
    </w:p>
    <w:p w:rsidR="001F6D8E" w:rsidRPr="00DE67A9" w:rsidRDefault="001F6D8E" w:rsidP="001F6D8E">
      <w:pPr>
        <w:rPr>
          <w:rFonts w:ascii="Times New Roman" w:hAnsi="Times New Roman"/>
          <w:sz w:val="24"/>
          <w:szCs w:val="24"/>
        </w:rPr>
      </w:pPr>
      <w:r w:rsidRPr="00DE67A9">
        <w:rPr>
          <w:rFonts w:ascii="Times New Roman" w:hAnsi="Times New Roman"/>
          <w:sz w:val="24"/>
          <w:szCs w:val="24"/>
        </w:rPr>
        <w:t>Maddelerin ve Karışımların Sınıflandırılması, Etiketlenmesi ve Ambalajlanmasına ilişkin EC/1272/2008 sayılı</w:t>
      </w:r>
      <w:r>
        <w:rPr>
          <w:rFonts w:ascii="Times New Roman" w:hAnsi="Times New Roman"/>
          <w:sz w:val="24"/>
          <w:szCs w:val="24"/>
        </w:rPr>
        <w:t xml:space="preserve"> CLP Tüzüğü</w:t>
      </w:r>
      <w:r w:rsidRPr="00DE67A9">
        <w:rPr>
          <w:rFonts w:ascii="Times New Roman" w:hAnsi="Times New Roman"/>
          <w:sz w:val="24"/>
          <w:szCs w:val="24"/>
        </w:rPr>
        <w:t xml:space="preserve"> Avrupa Parlementosu ve Konseyi Kararı 30 Aralık 2008 tarihinde yayımlanmış ve 20 Ocak 2009 tarihinde yürürlüğe girmiştir. </w:t>
      </w:r>
    </w:p>
    <w:p w:rsidR="001F6D8E" w:rsidRPr="00DE67A9" w:rsidRDefault="001F6D8E" w:rsidP="001F6D8E">
      <w:pPr>
        <w:rPr>
          <w:rFonts w:ascii="Times New Roman" w:hAnsi="Times New Roman"/>
          <w:sz w:val="24"/>
          <w:szCs w:val="24"/>
        </w:rPr>
      </w:pPr>
      <w:r w:rsidRPr="00DE67A9">
        <w:rPr>
          <w:rFonts w:ascii="Times New Roman" w:hAnsi="Times New Roman"/>
          <w:sz w:val="24"/>
          <w:szCs w:val="24"/>
        </w:rPr>
        <w:t xml:space="preserve">CLP Tüzüğü kademeli olarak Tehlikeli Maddeler (Dangerous Substances Directive=DSD) (67/548/EEC) ve Tehlikeli Karışımlar (Dangerous Preparations Directive = DPD) (1999/45/EC) direktiflerinin yerine geçecektir. </w:t>
      </w:r>
    </w:p>
    <w:p w:rsidR="001F6D8E" w:rsidRPr="00DE67A9" w:rsidRDefault="001F6D8E" w:rsidP="001F6D8E">
      <w:pPr>
        <w:rPr>
          <w:rFonts w:ascii="Times New Roman" w:hAnsi="Times New Roman"/>
          <w:sz w:val="24"/>
          <w:szCs w:val="24"/>
        </w:rPr>
      </w:pPr>
      <w:r w:rsidRPr="00DE67A9">
        <w:rPr>
          <w:rFonts w:ascii="Times New Roman" w:hAnsi="Times New Roman"/>
          <w:sz w:val="24"/>
          <w:szCs w:val="24"/>
        </w:rPr>
        <w:t xml:space="preserve">Yürürlüğe giren CLP Tüzüğü kapsamında; </w:t>
      </w:r>
      <w:r w:rsidR="004330AD">
        <w:rPr>
          <w:rFonts w:ascii="Times New Roman" w:hAnsi="Times New Roman"/>
          <w:sz w:val="24"/>
          <w:szCs w:val="24"/>
        </w:rPr>
        <w:t>M</w:t>
      </w:r>
      <w:r w:rsidRPr="008F5D7D">
        <w:rPr>
          <w:rFonts w:ascii="Times New Roman" w:hAnsi="Times New Roman"/>
          <w:sz w:val="24"/>
          <w:szCs w:val="24"/>
        </w:rPr>
        <w:t>addeler (substances) için 1 Aralık 2010</w:t>
      </w:r>
      <w:r w:rsidRPr="00DE67A9">
        <w:rPr>
          <w:rFonts w:ascii="Times New Roman" w:hAnsi="Times New Roman"/>
          <w:sz w:val="24"/>
          <w:szCs w:val="24"/>
        </w:rPr>
        <w:t xml:space="preserve"> tarihine kadar, </w:t>
      </w:r>
      <w:r w:rsidR="004330AD">
        <w:rPr>
          <w:rFonts w:ascii="Times New Roman" w:hAnsi="Times New Roman"/>
          <w:sz w:val="24"/>
          <w:szCs w:val="24"/>
        </w:rPr>
        <w:t>K</w:t>
      </w:r>
      <w:r w:rsidRPr="008F5D7D">
        <w:rPr>
          <w:rFonts w:ascii="Times New Roman" w:hAnsi="Times New Roman"/>
          <w:sz w:val="24"/>
          <w:szCs w:val="24"/>
        </w:rPr>
        <w:t>arışımlar (mixtures) için ise 1 Haziran 2015</w:t>
      </w:r>
      <w:r w:rsidRPr="00DE67A9">
        <w:rPr>
          <w:rFonts w:ascii="Times New Roman" w:hAnsi="Times New Roman"/>
          <w:sz w:val="24"/>
          <w:szCs w:val="24"/>
        </w:rPr>
        <w:t xml:space="preserve"> tarihine kadar geçiş süresi verilmiştir.</w:t>
      </w:r>
    </w:p>
    <w:p w:rsidR="001F6D8E" w:rsidRPr="00CD1CF1" w:rsidRDefault="001F6D8E" w:rsidP="001F6D8E">
      <w:pPr>
        <w:rPr>
          <w:rFonts w:ascii="Times New Roman" w:hAnsi="Times New Roman"/>
          <w:sz w:val="24"/>
          <w:szCs w:val="24"/>
        </w:rPr>
      </w:pPr>
      <w:r w:rsidRPr="00DE67A9">
        <w:rPr>
          <w:rFonts w:ascii="Times New Roman" w:hAnsi="Times New Roman"/>
          <w:sz w:val="24"/>
          <w:szCs w:val="24"/>
        </w:rPr>
        <w:t>AB üyesi ülkelerde faaliyet gösteren, kimyasal madde ve karışım üreten veya ithal eden firmaların, söz konusu madde ve karışımları CLP Tüzüğü usul ve esaslarına göre sınıflandırma, etiketleme ve ambalajlama yükümlülüğü vardır.</w:t>
      </w:r>
      <w:r w:rsidRPr="00CD1CF1">
        <w:rPr>
          <w:rFonts w:ascii="Times New Roman" w:hAnsi="Times New Roman"/>
          <w:sz w:val="24"/>
          <w:szCs w:val="24"/>
        </w:rPr>
        <w:t xml:space="preserve"> Bunun yanısıra </w:t>
      </w:r>
      <w:r w:rsidRPr="0057267D">
        <w:rPr>
          <w:rFonts w:ascii="Times New Roman" w:hAnsi="Times New Roman"/>
          <w:sz w:val="24"/>
          <w:szCs w:val="24"/>
        </w:rPr>
        <w:t>“Güvenlik Bilgi Formları”ndaki sınıflandırma ve etiketleme bilgilerinin, 1272/2008 sayılı CLP Tüzüğü kapsamında belirlenmiş usul ve esaslar doğrultusunda güncellenmesi”</w:t>
      </w:r>
      <w:r w:rsidRPr="00CD1CF1">
        <w:rPr>
          <w:rFonts w:ascii="Times New Roman" w:hAnsi="Times New Roman"/>
          <w:sz w:val="24"/>
          <w:szCs w:val="24"/>
        </w:rPr>
        <w:t xml:space="preserve"> gerekmektedir. </w:t>
      </w:r>
    </w:p>
    <w:p w:rsidR="001F6D8E" w:rsidRPr="00C12C46" w:rsidRDefault="001F6D8E" w:rsidP="001F6D8E">
      <w:pPr>
        <w:rPr>
          <w:rFonts w:ascii="Times New Roman" w:hAnsi="Times New Roman"/>
          <w:sz w:val="24"/>
          <w:szCs w:val="24"/>
        </w:rPr>
      </w:pPr>
      <w:r w:rsidRPr="00C12C46">
        <w:rPr>
          <w:rFonts w:ascii="Times New Roman" w:hAnsi="Times New Roman"/>
          <w:sz w:val="24"/>
          <w:szCs w:val="24"/>
        </w:rPr>
        <w:t>CLP Tüzüğü</w:t>
      </w:r>
      <w:r>
        <w:rPr>
          <w:rFonts w:ascii="Times New Roman" w:hAnsi="Times New Roman"/>
          <w:sz w:val="24"/>
          <w:szCs w:val="24"/>
        </w:rPr>
        <w:t xml:space="preserve"> ile birlikte</w:t>
      </w:r>
      <w:r w:rsidRPr="00C12C46">
        <w:rPr>
          <w:rFonts w:ascii="Times New Roman" w:hAnsi="Times New Roman"/>
          <w:sz w:val="24"/>
          <w:szCs w:val="24"/>
        </w:rPr>
        <w:t xml:space="preserve">,  AB’de kimyasal madde üretici ve ithalatçılarının, </w:t>
      </w:r>
      <w:r w:rsidRPr="009D5B19">
        <w:rPr>
          <w:rFonts w:ascii="Times New Roman" w:hAnsi="Times New Roman"/>
          <w:sz w:val="24"/>
          <w:szCs w:val="24"/>
        </w:rPr>
        <w:t>sınıflandırma ve etiketleme bilgilerini</w:t>
      </w:r>
      <w:r w:rsidRPr="00C12C46">
        <w:rPr>
          <w:rFonts w:ascii="Times New Roman" w:hAnsi="Times New Roman"/>
          <w:sz w:val="24"/>
          <w:szCs w:val="24"/>
        </w:rPr>
        <w:t xml:space="preserve"> Avrupa Kimyasallar Ajansı’na </w:t>
      </w:r>
      <w:r>
        <w:rPr>
          <w:rFonts w:ascii="Times New Roman" w:hAnsi="Times New Roman"/>
          <w:sz w:val="24"/>
          <w:szCs w:val="24"/>
        </w:rPr>
        <w:t>AB’ye gönderdikleri tarihten itibaren 1 ay içerisinde</w:t>
      </w:r>
      <w:r w:rsidRPr="00C12C46">
        <w:rPr>
          <w:rFonts w:ascii="Times New Roman" w:hAnsi="Times New Roman"/>
          <w:b/>
          <w:sz w:val="24"/>
          <w:szCs w:val="24"/>
        </w:rPr>
        <w:t xml:space="preserve"> </w:t>
      </w:r>
      <w:r w:rsidRPr="009D5B19">
        <w:rPr>
          <w:rFonts w:ascii="Times New Roman" w:hAnsi="Times New Roman"/>
          <w:sz w:val="24"/>
          <w:szCs w:val="24"/>
        </w:rPr>
        <w:t xml:space="preserve">bildirim yükümlülüğü </w:t>
      </w:r>
      <w:r w:rsidRPr="00C12C46">
        <w:rPr>
          <w:rFonts w:ascii="Times New Roman" w:hAnsi="Times New Roman"/>
          <w:sz w:val="24"/>
          <w:szCs w:val="24"/>
        </w:rPr>
        <w:t>bulunmaktadır.</w:t>
      </w:r>
      <w:r>
        <w:rPr>
          <w:rFonts w:ascii="Times New Roman" w:hAnsi="Times New Roman"/>
          <w:sz w:val="24"/>
          <w:szCs w:val="24"/>
        </w:rPr>
        <w:t xml:space="preserve"> </w:t>
      </w:r>
      <w:r w:rsidRPr="00C12C46">
        <w:rPr>
          <w:rFonts w:ascii="Times New Roman" w:hAnsi="Times New Roman"/>
          <w:sz w:val="24"/>
          <w:szCs w:val="24"/>
        </w:rPr>
        <w:t xml:space="preserve"> </w:t>
      </w:r>
    </w:p>
    <w:p w:rsidR="001F6D8E" w:rsidRDefault="001F6D8E" w:rsidP="001F6D8E">
      <w:pPr>
        <w:rPr>
          <w:rFonts w:ascii="Times New Roman" w:hAnsi="Times New Roman"/>
          <w:sz w:val="24"/>
          <w:szCs w:val="24"/>
        </w:rPr>
      </w:pPr>
      <w:r>
        <w:rPr>
          <w:rFonts w:ascii="Times New Roman" w:hAnsi="Times New Roman"/>
          <w:sz w:val="24"/>
          <w:szCs w:val="24"/>
        </w:rPr>
        <w:t>Avrupa Birliği dışındaki ülkeler için Sınıflandırma ve Etiketleme bildirimi, üretici firmaların hazırladığı bildirim bilgilerini</w:t>
      </w:r>
      <w:r w:rsidR="00E6150E">
        <w:rPr>
          <w:rFonts w:ascii="Times New Roman" w:hAnsi="Times New Roman"/>
          <w:sz w:val="24"/>
          <w:szCs w:val="24"/>
        </w:rPr>
        <w:t>,</w:t>
      </w:r>
      <w:r>
        <w:rPr>
          <w:rFonts w:ascii="Times New Roman" w:hAnsi="Times New Roman"/>
          <w:sz w:val="24"/>
          <w:szCs w:val="24"/>
        </w:rPr>
        <w:t xml:space="preserve"> </w:t>
      </w:r>
      <w:r w:rsidRPr="00A916A9">
        <w:rPr>
          <w:rFonts w:ascii="Times New Roman" w:hAnsi="Times New Roman"/>
          <w:sz w:val="24"/>
          <w:szCs w:val="24"/>
        </w:rPr>
        <w:t>AB’deki ithalatçılarına</w:t>
      </w:r>
      <w:r>
        <w:rPr>
          <w:rFonts w:ascii="Times New Roman" w:hAnsi="Times New Roman"/>
          <w:sz w:val="24"/>
          <w:szCs w:val="24"/>
        </w:rPr>
        <w:t xml:space="preserve"> Ajans’a iletmeleri doğrultusunda sunmaları  ya da AB’de yerleşik bir Tek Temsilci aracılığıyla yapma yolu belirlenmiştir.</w:t>
      </w:r>
    </w:p>
    <w:p w:rsidR="001F6D8E" w:rsidRDefault="001F6D8E" w:rsidP="001F6D8E">
      <w:pPr>
        <w:rPr>
          <w:rFonts w:ascii="Times New Roman" w:hAnsi="Times New Roman"/>
          <w:sz w:val="24"/>
          <w:szCs w:val="24"/>
        </w:rPr>
      </w:pPr>
      <w:r>
        <w:rPr>
          <w:rFonts w:ascii="Times New Roman" w:hAnsi="Times New Roman"/>
          <w:sz w:val="24"/>
          <w:szCs w:val="24"/>
        </w:rPr>
        <w:t>CLP Tüzüğü için REACH Tüzüğünde izlenen yaptırım yöntemi izlenerek, ihlal durumunda cezaların belirlenmesi AB üye ülkelerine bırakılmıştır.CLP Tüzüğü Madde 47’sine göre, cezalar etkili, orantılı ve caydırıcı olmalıdır.</w:t>
      </w:r>
    </w:p>
    <w:p w:rsidR="001F6D8E" w:rsidRDefault="001F6D8E" w:rsidP="001F6D8E">
      <w:pPr>
        <w:rPr>
          <w:rFonts w:ascii="Times New Roman" w:hAnsi="Times New Roman"/>
          <w:sz w:val="24"/>
          <w:szCs w:val="24"/>
        </w:rPr>
      </w:pPr>
      <w:r>
        <w:rPr>
          <w:rFonts w:ascii="Times New Roman" w:hAnsi="Times New Roman"/>
          <w:sz w:val="24"/>
          <w:szCs w:val="24"/>
        </w:rPr>
        <w:t xml:space="preserve">Türkiye’de Çevre ve Şehircilik Bakanlığı tarafından, AB Entegrasyon Sürecinin Desteklenmesi Faaliyetleri (SEI) 2007 programlamasından </w:t>
      </w:r>
      <w:r w:rsidRPr="00F45315">
        <w:rPr>
          <w:rFonts w:ascii="Times New Roman" w:hAnsi="Times New Roman"/>
          <w:i/>
          <w:sz w:val="24"/>
          <w:szCs w:val="24"/>
        </w:rPr>
        <w:t>“ Maddelerin ve Karışımların Sınıflandırılması, Ambalajlanması ve Etiketlenmesi (CLP) Hakkında 1272/2008/EC sayılı Tüzüğün Türkiye’de Uyumlaştırılması”</w:t>
      </w:r>
      <w:r>
        <w:rPr>
          <w:rFonts w:ascii="Times New Roman" w:hAnsi="Times New Roman"/>
          <w:sz w:val="24"/>
          <w:szCs w:val="24"/>
        </w:rPr>
        <w:t xml:space="preserve"> projesi kapsamında çalışmalar yürütülmüş ve CLP Taslak Metni hazırlanmıştır.</w:t>
      </w:r>
    </w:p>
    <w:p w:rsidR="001F6D8E" w:rsidRDefault="001F6D8E" w:rsidP="001F6D8E">
      <w:pPr>
        <w:rPr>
          <w:rFonts w:ascii="Times New Roman" w:hAnsi="Times New Roman"/>
          <w:sz w:val="24"/>
          <w:szCs w:val="24"/>
        </w:rPr>
      </w:pPr>
      <w:r>
        <w:rPr>
          <w:rFonts w:ascii="Times New Roman" w:hAnsi="Times New Roman"/>
          <w:sz w:val="24"/>
          <w:szCs w:val="24"/>
        </w:rPr>
        <w:t>Türkiye’deki taslak metinde</w:t>
      </w:r>
      <w:r w:rsidRPr="0065035A">
        <w:rPr>
          <w:rFonts w:eastAsia="+mn-ea" w:cs="+mn-cs"/>
          <w:color w:val="000000"/>
          <w:kern w:val="24"/>
        </w:rPr>
        <w:t xml:space="preserve"> </w:t>
      </w:r>
      <w:r w:rsidRPr="0065035A">
        <w:rPr>
          <w:rFonts w:ascii="Times New Roman" w:hAnsi="Times New Roman"/>
          <w:sz w:val="24"/>
          <w:szCs w:val="24"/>
        </w:rPr>
        <w:t>REACH Tüzüğü’nün ül</w:t>
      </w:r>
      <w:r>
        <w:rPr>
          <w:rFonts w:ascii="Times New Roman" w:hAnsi="Times New Roman"/>
          <w:sz w:val="24"/>
          <w:szCs w:val="24"/>
        </w:rPr>
        <w:t xml:space="preserve">kemizde henüz uyumlaştırılmamış </w:t>
      </w:r>
      <w:r w:rsidRPr="0065035A">
        <w:rPr>
          <w:rFonts w:ascii="Times New Roman" w:hAnsi="Times New Roman"/>
          <w:sz w:val="24"/>
          <w:szCs w:val="24"/>
        </w:rPr>
        <w:t>olması</w:t>
      </w:r>
      <w:r>
        <w:rPr>
          <w:rFonts w:ascii="Times New Roman" w:hAnsi="Times New Roman"/>
          <w:sz w:val="24"/>
          <w:szCs w:val="24"/>
        </w:rPr>
        <w:t xml:space="preserve"> ve </w:t>
      </w:r>
      <w:r w:rsidRPr="0065035A">
        <w:rPr>
          <w:rFonts w:ascii="Times New Roman" w:hAnsi="Times New Roman"/>
          <w:sz w:val="24"/>
          <w:szCs w:val="24"/>
        </w:rPr>
        <w:t>CLP Tüzüğü’nde REACH Tüzüğüne yapılan bazı atıfların, CLP Tüzüğü’nün uygulanmasında gerekli olması</w:t>
      </w:r>
      <w:r>
        <w:rPr>
          <w:rFonts w:ascii="Times New Roman" w:hAnsi="Times New Roman"/>
          <w:sz w:val="24"/>
          <w:szCs w:val="24"/>
        </w:rPr>
        <w:t xml:space="preserve"> nedeniyle  4 yeni ek oluşturulmuştur.</w:t>
      </w:r>
    </w:p>
    <w:p w:rsidR="001F6D8E" w:rsidRPr="001371E2" w:rsidRDefault="001F6D8E" w:rsidP="001F6D8E">
      <w:pPr>
        <w:spacing w:after="0"/>
        <w:rPr>
          <w:rFonts w:ascii="Times New Roman" w:hAnsi="Times New Roman"/>
          <w:sz w:val="24"/>
          <w:szCs w:val="24"/>
        </w:rPr>
      </w:pPr>
      <w:r w:rsidRPr="001371E2">
        <w:rPr>
          <w:rFonts w:ascii="Times New Roman" w:hAnsi="Times New Roman"/>
          <w:sz w:val="24"/>
          <w:szCs w:val="24"/>
        </w:rPr>
        <w:t>Ek-8: Piyasaya Arz Edilmeyen Maddelerin Sınıflandırılma Koşulları</w:t>
      </w:r>
    </w:p>
    <w:p w:rsidR="001F6D8E" w:rsidRPr="001371E2" w:rsidRDefault="001F6D8E" w:rsidP="001F6D8E">
      <w:pPr>
        <w:spacing w:after="0"/>
        <w:rPr>
          <w:rFonts w:ascii="Times New Roman" w:hAnsi="Times New Roman"/>
          <w:sz w:val="24"/>
          <w:szCs w:val="24"/>
        </w:rPr>
      </w:pPr>
      <w:r w:rsidRPr="001371E2">
        <w:rPr>
          <w:rFonts w:ascii="Times New Roman" w:hAnsi="Times New Roman"/>
          <w:sz w:val="24"/>
          <w:szCs w:val="24"/>
        </w:rPr>
        <w:t>Ek-9: Standart Test Rejimlerinin Uyarlanmasına İlişkin Genel Kurallar</w:t>
      </w:r>
    </w:p>
    <w:p w:rsidR="001F6D8E" w:rsidRPr="001371E2" w:rsidRDefault="001F6D8E" w:rsidP="001F6D8E">
      <w:pPr>
        <w:spacing w:after="0"/>
        <w:rPr>
          <w:rFonts w:ascii="Times New Roman" w:hAnsi="Times New Roman"/>
          <w:sz w:val="24"/>
          <w:szCs w:val="24"/>
        </w:rPr>
      </w:pPr>
      <w:r w:rsidRPr="001371E2">
        <w:rPr>
          <w:rFonts w:ascii="Times New Roman" w:hAnsi="Times New Roman"/>
          <w:sz w:val="24"/>
          <w:szCs w:val="24"/>
        </w:rPr>
        <w:t>Ek-10: Halkın Erişimine Sunulacak Bilgiler</w:t>
      </w:r>
    </w:p>
    <w:p w:rsidR="001F6D8E" w:rsidRPr="001371E2" w:rsidRDefault="001F6D8E" w:rsidP="001F6D8E">
      <w:pPr>
        <w:spacing w:after="0"/>
        <w:rPr>
          <w:rFonts w:ascii="Times New Roman" w:hAnsi="Times New Roman"/>
          <w:sz w:val="24"/>
          <w:szCs w:val="24"/>
        </w:rPr>
      </w:pPr>
      <w:r w:rsidRPr="001371E2">
        <w:rPr>
          <w:rFonts w:ascii="Times New Roman" w:hAnsi="Times New Roman"/>
          <w:sz w:val="24"/>
          <w:szCs w:val="24"/>
        </w:rPr>
        <w:t>Ek-11: Zararlılık Değerlendirmeleri Ve Uyumlaştırılmış Sınıflandırma İçin Başvuru Formatı</w:t>
      </w:r>
    </w:p>
    <w:p w:rsidR="001F6D8E" w:rsidRDefault="001F6D8E" w:rsidP="001F6D8E">
      <w:pPr>
        <w:spacing w:after="0"/>
        <w:rPr>
          <w:rFonts w:ascii="Times New Roman" w:hAnsi="Times New Roman"/>
          <w:sz w:val="24"/>
          <w:szCs w:val="24"/>
        </w:rPr>
      </w:pPr>
    </w:p>
    <w:p w:rsidR="001F6D8E" w:rsidRDefault="001F6D8E" w:rsidP="001F6D8E">
      <w:pPr>
        <w:spacing w:after="0"/>
        <w:rPr>
          <w:rFonts w:ascii="Times New Roman" w:hAnsi="Times New Roman"/>
          <w:sz w:val="24"/>
          <w:szCs w:val="24"/>
        </w:rPr>
      </w:pPr>
      <w:r>
        <w:rPr>
          <w:rFonts w:ascii="Times New Roman" w:hAnsi="Times New Roman"/>
          <w:sz w:val="24"/>
          <w:szCs w:val="24"/>
        </w:rPr>
        <w:lastRenderedPageBreak/>
        <w:t>CLP Tüzüğü yürütücü kuruluşu AB’de Avrupa Kimyasallar Ajansı, Türkiye’de ise Çevre ve Şehircilik Bakanlığı olarak belirlenmiştir.Bakanlık Tüzüğün 2012 yılının sonunda yayımlanacağını, maddeler için 1 Ocak 2014, karışımlar için 1 Haziran 2015 yılından itibaren uygulanacağını belirtmektedir.</w:t>
      </w:r>
    </w:p>
    <w:p w:rsidR="00F97B5E" w:rsidRDefault="00F97B5E" w:rsidP="001F6D8E">
      <w:pPr>
        <w:spacing w:after="0"/>
        <w:rPr>
          <w:rFonts w:ascii="Times New Roman" w:hAnsi="Times New Roman"/>
          <w:sz w:val="24"/>
          <w:szCs w:val="24"/>
        </w:rPr>
      </w:pPr>
    </w:p>
    <w:p w:rsidR="00F97B5E" w:rsidRPr="008B59B0" w:rsidRDefault="00886E34" w:rsidP="00F97B5E">
      <w:pPr>
        <w:autoSpaceDE w:val="0"/>
        <w:autoSpaceDN w:val="0"/>
        <w:adjustRightInd w:val="0"/>
        <w:spacing w:after="0" w:line="240" w:lineRule="auto"/>
        <w:jc w:val="both"/>
        <w:rPr>
          <w:rFonts w:ascii="Times New Roman" w:eastAsia="Calibri" w:hAnsi="Times New Roman" w:cs="Times New Roman"/>
          <w:b/>
          <w:color w:val="000000"/>
          <w:sz w:val="28"/>
          <w:szCs w:val="28"/>
        </w:rPr>
      </w:pPr>
      <w:r w:rsidRPr="008B59B0">
        <w:rPr>
          <w:rFonts w:ascii="Times New Roman" w:eastAsia="Calibri" w:hAnsi="Times New Roman" w:cs="Times New Roman"/>
          <w:b/>
          <w:color w:val="000000"/>
          <w:sz w:val="28"/>
          <w:szCs w:val="28"/>
        </w:rPr>
        <w:t xml:space="preserve">6- </w:t>
      </w:r>
      <w:r w:rsidR="00F97B5E" w:rsidRPr="008B59B0">
        <w:rPr>
          <w:rFonts w:ascii="Times New Roman" w:eastAsia="Calibri" w:hAnsi="Times New Roman" w:cs="Times New Roman"/>
          <w:b/>
          <w:color w:val="000000"/>
          <w:sz w:val="28"/>
          <w:szCs w:val="28"/>
        </w:rPr>
        <w:t>T</w:t>
      </w:r>
      <w:r w:rsidR="00510692" w:rsidRPr="008B59B0">
        <w:rPr>
          <w:rFonts w:ascii="Times New Roman" w:eastAsia="Calibri" w:hAnsi="Times New Roman" w:cs="Times New Roman"/>
          <w:b/>
          <w:color w:val="000000"/>
          <w:sz w:val="28"/>
          <w:szCs w:val="28"/>
        </w:rPr>
        <w:t xml:space="preserve">ürkiye Endüstriyel </w:t>
      </w:r>
      <w:r w:rsidR="00F97B5E" w:rsidRPr="008B59B0">
        <w:rPr>
          <w:rFonts w:ascii="Times New Roman" w:eastAsia="Calibri" w:hAnsi="Times New Roman" w:cs="Times New Roman"/>
          <w:b/>
          <w:color w:val="000000"/>
          <w:sz w:val="28"/>
          <w:szCs w:val="28"/>
        </w:rPr>
        <w:t xml:space="preserve"> K</w:t>
      </w:r>
      <w:r w:rsidR="00510692" w:rsidRPr="008B59B0">
        <w:rPr>
          <w:rFonts w:ascii="Times New Roman" w:eastAsia="Calibri" w:hAnsi="Times New Roman" w:cs="Times New Roman"/>
          <w:b/>
          <w:color w:val="000000"/>
          <w:sz w:val="28"/>
          <w:szCs w:val="28"/>
        </w:rPr>
        <w:t>azaların</w:t>
      </w:r>
      <w:r w:rsidR="00F97B5E" w:rsidRPr="008B59B0">
        <w:rPr>
          <w:rFonts w:ascii="Times New Roman" w:eastAsia="Calibri" w:hAnsi="Times New Roman" w:cs="Times New Roman"/>
          <w:b/>
          <w:color w:val="000000"/>
          <w:sz w:val="28"/>
          <w:szCs w:val="28"/>
        </w:rPr>
        <w:t xml:space="preserve"> Ö</w:t>
      </w:r>
      <w:r w:rsidR="00510692" w:rsidRPr="008B59B0">
        <w:rPr>
          <w:rFonts w:ascii="Times New Roman" w:eastAsia="Calibri" w:hAnsi="Times New Roman" w:cs="Times New Roman"/>
          <w:b/>
          <w:color w:val="000000"/>
          <w:sz w:val="28"/>
          <w:szCs w:val="28"/>
        </w:rPr>
        <w:t>nlenmesinde</w:t>
      </w:r>
      <w:r w:rsidR="00F97B5E" w:rsidRPr="008B59B0">
        <w:rPr>
          <w:rFonts w:ascii="Times New Roman" w:eastAsia="Calibri" w:hAnsi="Times New Roman" w:cs="Times New Roman"/>
          <w:b/>
          <w:color w:val="000000"/>
          <w:sz w:val="28"/>
          <w:szCs w:val="28"/>
        </w:rPr>
        <w:t xml:space="preserve"> AB’</w:t>
      </w:r>
      <w:r w:rsidR="00510692" w:rsidRPr="008B59B0">
        <w:rPr>
          <w:rFonts w:ascii="Times New Roman" w:eastAsia="Calibri" w:hAnsi="Times New Roman" w:cs="Times New Roman"/>
          <w:b/>
          <w:color w:val="000000"/>
          <w:sz w:val="28"/>
          <w:szCs w:val="28"/>
        </w:rPr>
        <w:t>ye</w:t>
      </w:r>
      <w:r w:rsidR="00F97B5E" w:rsidRPr="008B59B0">
        <w:rPr>
          <w:rFonts w:ascii="Times New Roman" w:eastAsia="Calibri" w:hAnsi="Times New Roman" w:cs="Times New Roman"/>
          <w:b/>
          <w:color w:val="000000"/>
          <w:sz w:val="28"/>
          <w:szCs w:val="28"/>
        </w:rPr>
        <w:t xml:space="preserve"> U</w:t>
      </w:r>
      <w:r w:rsidR="00510692" w:rsidRPr="008B59B0">
        <w:rPr>
          <w:rFonts w:ascii="Times New Roman" w:eastAsia="Calibri" w:hAnsi="Times New Roman" w:cs="Times New Roman"/>
          <w:b/>
          <w:color w:val="000000"/>
          <w:sz w:val="28"/>
          <w:szCs w:val="28"/>
        </w:rPr>
        <w:t>yumlu</w:t>
      </w:r>
      <w:r w:rsidR="00F97B5E" w:rsidRPr="008B59B0">
        <w:rPr>
          <w:rFonts w:ascii="Times New Roman" w:eastAsia="Calibri" w:hAnsi="Times New Roman" w:cs="Times New Roman"/>
          <w:b/>
          <w:color w:val="000000"/>
          <w:sz w:val="28"/>
          <w:szCs w:val="28"/>
        </w:rPr>
        <w:t xml:space="preserve"> </w:t>
      </w:r>
      <w:r w:rsidR="00510692" w:rsidRPr="008B59B0">
        <w:rPr>
          <w:rFonts w:ascii="Times New Roman" w:eastAsia="Calibri" w:hAnsi="Times New Roman" w:cs="Times New Roman"/>
          <w:b/>
          <w:color w:val="000000"/>
          <w:sz w:val="28"/>
          <w:szCs w:val="28"/>
        </w:rPr>
        <w:t>Mu</w:t>
      </w:r>
      <w:r w:rsidR="00F97B5E" w:rsidRPr="008B59B0">
        <w:rPr>
          <w:rFonts w:ascii="Times New Roman" w:eastAsia="Calibri" w:hAnsi="Times New Roman" w:cs="Times New Roman"/>
          <w:b/>
          <w:color w:val="000000"/>
          <w:sz w:val="28"/>
          <w:szCs w:val="28"/>
        </w:rPr>
        <w:t>?</w:t>
      </w:r>
    </w:p>
    <w:p w:rsidR="00F97B5E" w:rsidRDefault="00F97B5E" w:rsidP="00F97B5E">
      <w:pPr>
        <w:autoSpaceDE w:val="0"/>
        <w:autoSpaceDN w:val="0"/>
        <w:adjustRightInd w:val="0"/>
        <w:spacing w:after="0" w:line="240" w:lineRule="auto"/>
        <w:jc w:val="both"/>
        <w:rPr>
          <w:rFonts w:ascii="Calibri" w:eastAsia="Calibri" w:hAnsi="Calibri" w:cs="Times New Roman"/>
          <w:sz w:val="20"/>
          <w:szCs w:val="20"/>
        </w:rPr>
      </w:pPr>
    </w:p>
    <w:p w:rsidR="00F97B5E" w:rsidRPr="00A4506D" w:rsidRDefault="00F97B5E" w:rsidP="00A4506D">
      <w:pPr>
        <w:autoSpaceDE w:val="0"/>
        <w:autoSpaceDN w:val="0"/>
        <w:adjustRightInd w:val="0"/>
        <w:spacing w:after="0"/>
        <w:jc w:val="both"/>
        <w:rPr>
          <w:rFonts w:ascii="Times New Roman" w:eastAsia="Calibri" w:hAnsi="Times New Roman" w:cs="Times New Roman"/>
          <w:sz w:val="24"/>
          <w:szCs w:val="24"/>
        </w:rPr>
      </w:pPr>
      <w:r w:rsidRPr="00A4506D">
        <w:rPr>
          <w:rFonts w:ascii="Times New Roman" w:eastAsia="Calibri" w:hAnsi="Times New Roman" w:cs="Times New Roman"/>
          <w:sz w:val="24"/>
          <w:szCs w:val="24"/>
        </w:rPr>
        <w:t>Avrupa Komisyonu 2011 yılı Türkiye ilerleme raporunda  Türkiye’nin büyük endüstriyel kazaların kontrolü ile ilgili yönetmeliğin uygulamaya geçirilmesine yönelik olarak, ikincil mevzuat şeklinde, acil durum planları, kamunun bilgilendirilm</w:t>
      </w:r>
      <w:r w:rsidR="00137350">
        <w:rPr>
          <w:rFonts w:ascii="Times New Roman" w:eastAsia="Calibri" w:hAnsi="Times New Roman" w:cs="Times New Roman"/>
          <w:sz w:val="24"/>
          <w:szCs w:val="24"/>
        </w:rPr>
        <w:t>esi ve bildirimler ile ilgili k</w:t>
      </w:r>
      <w:r w:rsidR="00625D59">
        <w:rPr>
          <w:rFonts w:ascii="Times New Roman" w:eastAsia="Calibri" w:hAnsi="Times New Roman" w:cs="Times New Roman"/>
          <w:sz w:val="24"/>
          <w:szCs w:val="24"/>
        </w:rPr>
        <w:t xml:space="preserve">lavuzların yayımlandığı </w:t>
      </w:r>
      <w:r w:rsidRPr="00A4506D">
        <w:rPr>
          <w:rFonts w:ascii="Times New Roman" w:eastAsia="Calibri" w:hAnsi="Times New Roman" w:cs="Times New Roman"/>
          <w:sz w:val="24"/>
          <w:szCs w:val="24"/>
        </w:rPr>
        <w:t>ve entegre izin sistemine geçilmesi erken aşamada olduğu belirtilmiştir.</w:t>
      </w:r>
    </w:p>
    <w:p w:rsidR="00F97B5E" w:rsidRPr="00EA7C2D" w:rsidRDefault="00F97B5E" w:rsidP="00F97B5E">
      <w:pPr>
        <w:autoSpaceDE w:val="0"/>
        <w:autoSpaceDN w:val="0"/>
        <w:adjustRightInd w:val="0"/>
        <w:spacing w:after="0" w:line="240" w:lineRule="auto"/>
        <w:jc w:val="both"/>
        <w:rPr>
          <w:rFonts w:ascii="TimesNewRomanPSMT" w:eastAsia="Calibri" w:hAnsi="TimesNewRomanPSMT" w:cs="TimesNewRomanPSMT"/>
          <w:sz w:val="24"/>
          <w:szCs w:val="24"/>
        </w:rPr>
      </w:pPr>
    </w:p>
    <w:p w:rsidR="00F97B5E" w:rsidRPr="00EA7C2D" w:rsidRDefault="00F97B5E" w:rsidP="00F97B5E">
      <w:pPr>
        <w:autoSpaceDE w:val="0"/>
        <w:autoSpaceDN w:val="0"/>
        <w:adjustRightInd w:val="0"/>
        <w:spacing w:after="0"/>
        <w:jc w:val="both"/>
        <w:rPr>
          <w:rFonts w:ascii="Times New Roman" w:eastAsia="Calibri" w:hAnsi="Times New Roman" w:cs="Times New Roman"/>
          <w:sz w:val="24"/>
          <w:szCs w:val="24"/>
        </w:rPr>
      </w:pPr>
      <w:r w:rsidRPr="00EA7C2D">
        <w:rPr>
          <w:rFonts w:ascii="Times New Roman" w:eastAsia="Calibri" w:hAnsi="Times New Roman" w:cs="Times New Roman"/>
          <w:sz w:val="24"/>
          <w:szCs w:val="24"/>
        </w:rPr>
        <w:t xml:space="preserve">Türkiye, AB’nin 96/82 sayılı Tehlikeli Maddeleri İçeren Büyük Endüstriyel Kazaların Zararlarının Kontrolüne İlişkin (96/82/EC) Seveso II Direktifine,  Çevre ve Şehircilik Bakanlığı tarafından </w:t>
      </w:r>
      <w:r w:rsidRPr="00EA7C2D">
        <w:rPr>
          <w:rFonts w:ascii="Times New Roman" w:eastAsia="Calibri" w:hAnsi="Times New Roman" w:cs="Times New Roman"/>
          <w:b/>
          <w:bCs/>
          <w:sz w:val="24"/>
          <w:szCs w:val="24"/>
        </w:rPr>
        <w:t xml:space="preserve">18 Ağustos 2010 tarihli </w:t>
      </w:r>
      <w:r w:rsidRPr="00EA7C2D">
        <w:rPr>
          <w:rFonts w:ascii="Times New Roman" w:eastAsia="Calibri" w:hAnsi="Times New Roman" w:cs="Times New Roman"/>
          <w:sz w:val="24"/>
          <w:szCs w:val="24"/>
        </w:rPr>
        <w:t xml:space="preserve">ve </w:t>
      </w:r>
      <w:r w:rsidRPr="00EA7C2D">
        <w:rPr>
          <w:rFonts w:ascii="Times New Roman" w:eastAsia="Calibri" w:hAnsi="Times New Roman" w:cs="Times New Roman"/>
          <w:b/>
          <w:bCs/>
          <w:sz w:val="24"/>
          <w:szCs w:val="24"/>
        </w:rPr>
        <w:t>27676 sayılı</w:t>
      </w:r>
      <w:r w:rsidRPr="00EA7C2D">
        <w:rPr>
          <w:rFonts w:ascii="Times New Roman" w:eastAsia="Calibri" w:hAnsi="Times New Roman" w:cs="Times New Roman"/>
          <w:sz w:val="24"/>
          <w:szCs w:val="24"/>
        </w:rPr>
        <w:t xml:space="preserve"> resmi gazetede yayımlanan yürür lüğe giren </w:t>
      </w:r>
      <w:r w:rsidRPr="00EA7C2D">
        <w:rPr>
          <w:rFonts w:ascii="Times New Roman" w:eastAsia="Calibri" w:hAnsi="Times New Roman" w:cs="Times New Roman"/>
          <w:b/>
          <w:bCs/>
          <w:sz w:val="24"/>
          <w:szCs w:val="24"/>
        </w:rPr>
        <w:t xml:space="preserve">Büyük Endüstriyel Kazaların Kontrolü Hakkında Yönetmelik- SEVESO II </w:t>
      </w:r>
      <w:r w:rsidRPr="00EA7C2D">
        <w:rPr>
          <w:rFonts w:ascii="Times New Roman" w:eastAsia="Calibri" w:hAnsi="Times New Roman" w:cs="Times New Roman"/>
          <w:sz w:val="24"/>
          <w:szCs w:val="24"/>
        </w:rPr>
        <w:t xml:space="preserve"> ile uyum sağlamıştır. </w:t>
      </w:r>
    </w:p>
    <w:p w:rsidR="00F97B5E" w:rsidRPr="009624CC" w:rsidRDefault="00F97B5E" w:rsidP="00F97B5E">
      <w:pPr>
        <w:pStyle w:val="NormalWeb"/>
        <w:spacing w:line="276" w:lineRule="auto"/>
        <w:jc w:val="both"/>
        <w:rPr>
          <w:noProof/>
          <w:lang w:val="en-GB"/>
        </w:rPr>
      </w:pPr>
      <w:r w:rsidRPr="00EA7C2D">
        <w:t xml:space="preserve">Büyük Endüstriyel  Kazaların Kontrolü Hakkında Yönetmelik (SEVESO II)  kapsamında, alt ve üst seviyeli kuruluşlar,  yönetmeliğin Ek 1, Bölüm 1 ve Bölüm 2’sinde verilen tehlikeli maddeler </w:t>
      </w:r>
      <w:proofErr w:type="gramStart"/>
      <w:r w:rsidRPr="00EA7C2D">
        <w:t>listesindeki  eşik</w:t>
      </w:r>
      <w:proofErr w:type="gramEnd"/>
      <w:r w:rsidRPr="00EA7C2D">
        <w:t xml:space="preserve"> değere eşit veya üzerindeki miktarlarda tehlikeli maddelerini, Çevre ve Şehircilik Bakanlığı tarafından 2004-2006 yılları arasında AB finansmanı ile  yürütülen  “SEVESO Direktifinin Türkiye’de uyumlaştırılması  Projesi “ kapsamında oluşturulan  </w:t>
      </w:r>
      <w:proofErr w:type="spellStart"/>
      <w:r w:rsidRPr="00EA7C2D">
        <w:t>Seveso</w:t>
      </w:r>
      <w:proofErr w:type="spellEnd"/>
      <w:r w:rsidRPr="00EA7C2D">
        <w:t xml:space="preserve"> e-bildirim sistemine  girerek bildirim yükümlülüklerini yerine getirmiş bulunmakta</w:t>
      </w:r>
      <w:r w:rsidR="0023479E">
        <w:t>dır</w:t>
      </w:r>
      <w:r w:rsidRPr="00EA7C2D">
        <w:t xml:space="preserve">. </w:t>
      </w:r>
      <w:r>
        <w:t xml:space="preserve">Buna ek </w:t>
      </w:r>
      <w:proofErr w:type="gramStart"/>
      <w:r>
        <w:t xml:space="preserve">olarak  </w:t>
      </w:r>
      <w:r w:rsidRPr="009624CC">
        <w:rPr>
          <w:noProof/>
          <w:lang w:val="en-GB"/>
        </w:rPr>
        <w:t>Seveso</w:t>
      </w:r>
      <w:proofErr w:type="gramEnd"/>
      <w:r w:rsidRPr="009624CC">
        <w:rPr>
          <w:noProof/>
          <w:lang w:val="en-GB"/>
        </w:rPr>
        <w:t xml:space="preserve"> II Direktifi için </w:t>
      </w:r>
      <w:r>
        <w:rPr>
          <w:noProof/>
          <w:lang w:val="en-GB"/>
        </w:rPr>
        <w:t xml:space="preserve">henüz onay aşamasındaki </w:t>
      </w:r>
      <w:r w:rsidRPr="009624CC">
        <w:rPr>
          <w:noProof/>
          <w:lang w:val="en-GB"/>
        </w:rPr>
        <w:t>Uygulama Kapasitesi Projesi</w:t>
      </w:r>
      <w:r>
        <w:rPr>
          <w:noProof/>
          <w:lang w:val="en-GB"/>
        </w:rPr>
        <w:t xml:space="preserve">’nin (IPA-2009) </w:t>
      </w:r>
      <w:r w:rsidRPr="009624CC">
        <w:rPr>
          <w:noProof/>
          <w:lang w:val="en-GB"/>
        </w:rPr>
        <w:t xml:space="preserve"> 2012 yılı 4. çeyrekte başlaması öngörülüyor</w:t>
      </w:r>
      <w:r>
        <w:rPr>
          <w:noProof/>
          <w:lang w:val="en-GB"/>
        </w:rPr>
        <w:t>.</w:t>
      </w:r>
    </w:p>
    <w:p w:rsidR="00F97B5E" w:rsidRPr="00A017C5" w:rsidRDefault="00F97B5E" w:rsidP="00F97B5E">
      <w:pPr>
        <w:jc w:val="both"/>
        <w:rPr>
          <w:rFonts w:ascii="Times New Roman" w:hAnsi="Times New Roman" w:cs="Times New Roman"/>
          <w:sz w:val="24"/>
          <w:szCs w:val="24"/>
        </w:rPr>
      </w:pPr>
      <w:r w:rsidRPr="00A017C5">
        <w:rPr>
          <w:rFonts w:ascii="Times New Roman" w:eastAsia="Calibri" w:hAnsi="Times New Roman" w:cs="Times New Roman"/>
          <w:sz w:val="24"/>
          <w:szCs w:val="24"/>
        </w:rPr>
        <w:t xml:space="preserve">Büyük Endüstriyel  Kazaların Kontrolü Hakkında Yönetmelik (SEVESO II)  kapsamında, alt ve üst seviyeli kuruluşlar ve yükümlülükleri farklılık göstermekte olup, 18 Ağustos 2012’e kadar </w:t>
      </w:r>
      <w:r w:rsidRPr="00A017C5">
        <w:rPr>
          <w:rFonts w:ascii="Times New Roman" w:hAnsi="Times New Roman" w:cs="Times New Roman"/>
          <w:b/>
          <w:bCs/>
          <w:sz w:val="24"/>
          <w:szCs w:val="24"/>
        </w:rPr>
        <w:t xml:space="preserve">Alt Seviyeli Kuruluşlar </w:t>
      </w:r>
      <w:r w:rsidRPr="00A017C5">
        <w:rPr>
          <w:rFonts w:ascii="Times New Roman" w:eastAsia="Calibri" w:hAnsi="Times New Roman" w:cs="Times New Roman"/>
          <w:b/>
          <w:bCs/>
          <w:sz w:val="24"/>
          <w:szCs w:val="24"/>
        </w:rPr>
        <w:t>Büyük Kaza Önleme Politika Belgesini, Üst Seviyeli Kuruluşlar da  Güvenlik Raporu</w:t>
      </w:r>
      <w:r w:rsidRPr="00A017C5">
        <w:rPr>
          <w:rFonts w:ascii="Times New Roman" w:eastAsia="Calibri" w:hAnsi="Times New Roman" w:cs="Times New Roman"/>
          <w:sz w:val="24"/>
          <w:szCs w:val="24"/>
        </w:rPr>
        <w:t xml:space="preserve"> ve </w:t>
      </w:r>
      <w:r w:rsidRPr="00A017C5">
        <w:rPr>
          <w:rFonts w:ascii="Times New Roman" w:eastAsia="Calibri" w:hAnsi="Times New Roman" w:cs="Times New Roman"/>
          <w:b/>
          <w:bCs/>
          <w:sz w:val="24"/>
          <w:szCs w:val="24"/>
        </w:rPr>
        <w:t>Dahili Acil Durum Planını</w:t>
      </w:r>
      <w:r w:rsidRPr="00A017C5">
        <w:rPr>
          <w:rFonts w:ascii="Times New Roman" w:eastAsia="Calibri" w:hAnsi="Times New Roman" w:cs="Times New Roman"/>
          <w:sz w:val="24"/>
          <w:szCs w:val="24"/>
        </w:rPr>
        <w:t xml:space="preserve"> hazırlamak durumunda</w:t>
      </w:r>
      <w:r w:rsidR="008A55F7">
        <w:rPr>
          <w:rFonts w:ascii="Times New Roman" w:eastAsia="Calibri" w:hAnsi="Times New Roman" w:cs="Times New Roman"/>
          <w:sz w:val="24"/>
          <w:szCs w:val="24"/>
        </w:rPr>
        <w:t>dır</w:t>
      </w:r>
      <w:r w:rsidRPr="00A017C5">
        <w:rPr>
          <w:rFonts w:ascii="Times New Roman" w:eastAsia="Calibri" w:hAnsi="Times New Roman" w:cs="Times New Roman"/>
          <w:sz w:val="24"/>
          <w:szCs w:val="24"/>
        </w:rPr>
        <w:t>.</w:t>
      </w:r>
    </w:p>
    <w:p w:rsidR="00F97B5E" w:rsidRPr="00625EDA" w:rsidRDefault="00F97B5E" w:rsidP="00F97B5E">
      <w:pPr>
        <w:autoSpaceDE w:val="0"/>
        <w:autoSpaceDN w:val="0"/>
        <w:adjustRightInd w:val="0"/>
        <w:spacing w:after="0" w:line="240" w:lineRule="auto"/>
        <w:jc w:val="both"/>
        <w:rPr>
          <w:rFonts w:ascii="Times New Roman" w:eastAsia="Calibri" w:hAnsi="Times New Roman" w:cs="Times New Roman"/>
          <w:b/>
          <w:color w:val="000000"/>
          <w:sz w:val="28"/>
          <w:szCs w:val="28"/>
        </w:rPr>
      </w:pPr>
    </w:p>
    <w:p w:rsidR="00F97B5E" w:rsidRPr="00625EDA" w:rsidRDefault="00466FEE" w:rsidP="00F97B5E">
      <w:pPr>
        <w:autoSpaceDE w:val="0"/>
        <w:autoSpaceDN w:val="0"/>
        <w:adjustRightInd w:val="0"/>
        <w:spacing w:after="0" w:line="240" w:lineRule="auto"/>
        <w:jc w:val="both"/>
        <w:rPr>
          <w:rFonts w:ascii="Times New Roman" w:eastAsia="Calibri" w:hAnsi="Times New Roman" w:cs="Times New Roman"/>
          <w:b/>
          <w:sz w:val="28"/>
          <w:szCs w:val="28"/>
        </w:rPr>
      </w:pPr>
      <w:r w:rsidRPr="00625EDA">
        <w:rPr>
          <w:rFonts w:ascii="Times New Roman" w:eastAsia="Calibri" w:hAnsi="Times New Roman" w:cs="Times New Roman"/>
          <w:b/>
          <w:color w:val="000000"/>
          <w:sz w:val="28"/>
          <w:szCs w:val="28"/>
        </w:rPr>
        <w:t xml:space="preserve">7- </w:t>
      </w:r>
      <w:r w:rsidR="00F97B5E" w:rsidRPr="00625EDA">
        <w:rPr>
          <w:rFonts w:ascii="Times New Roman" w:eastAsia="Calibri" w:hAnsi="Times New Roman" w:cs="Times New Roman"/>
          <w:b/>
          <w:color w:val="000000"/>
          <w:sz w:val="28"/>
          <w:szCs w:val="28"/>
        </w:rPr>
        <w:t>Y</w:t>
      </w:r>
      <w:r w:rsidRPr="00625EDA">
        <w:rPr>
          <w:rFonts w:ascii="Times New Roman" w:eastAsia="Calibri" w:hAnsi="Times New Roman" w:cs="Times New Roman"/>
          <w:b/>
          <w:color w:val="000000"/>
          <w:sz w:val="28"/>
          <w:szCs w:val="28"/>
        </w:rPr>
        <w:t xml:space="preserve">eni </w:t>
      </w:r>
      <w:r w:rsidR="00F97B5E" w:rsidRPr="00625EDA">
        <w:rPr>
          <w:rFonts w:ascii="Times New Roman" w:eastAsia="Calibri" w:hAnsi="Times New Roman" w:cs="Times New Roman"/>
          <w:b/>
          <w:color w:val="000000"/>
          <w:sz w:val="28"/>
          <w:szCs w:val="28"/>
        </w:rPr>
        <w:t xml:space="preserve">SEVESO III </w:t>
      </w:r>
      <w:r w:rsidR="00F97B5E" w:rsidRPr="00625EDA">
        <w:rPr>
          <w:rFonts w:ascii="Times New Roman" w:eastAsia="Calibri" w:hAnsi="Times New Roman" w:cs="Times New Roman"/>
          <w:b/>
          <w:sz w:val="28"/>
          <w:szCs w:val="28"/>
        </w:rPr>
        <w:t>D</w:t>
      </w:r>
      <w:r w:rsidRPr="00625EDA">
        <w:rPr>
          <w:rFonts w:ascii="Times New Roman" w:eastAsia="Calibri" w:hAnsi="Times New Roman" w:cs="Times New Roman"/>
          <w:b/>
          <w:sz w:val="28"/>
          <w:szCs w:val="28"/>
        </w:rPr>
        <w:t>irektifi</w:t>
      </w:r>
      <w:r w:rsidR="00F97B5E" w:rsidRPr="00625EDA">
        <w:rPr>
          <w:rFonts w:ascii="Times New Roman" w:eastAsia="Calibri" w:hAnsi="Times New Roman" w:cs="Times New Roman"/>
          <w:b/>
          <w:sz w:val="28"/>
          <w:szCs w:val="28"/>
        </w:rPr>
        <w:t xml:space="preserve"> N</w:t>
      </w:r>
      <w:r w:rsidRPr="00625EDA">
        <w:rPr>
          <w:rFonts w:ascii="Times New Roman" w:eastAsia="Calibri" w:hAnsi="Times New Roman" w:cs="Times New Roman"/>
          <w:b/>
          <w:sz w:val="28"/>
          <w:szCs w:val="28"/>
        </w:rPr>
        <w:t>e</w:t>
      </w:r>
      <w:r w:rsidR="00F97B5E" w:rsidRPr="00625EDA">
        <w:rPr>
          <w:rFonts w:ascii="Times New Roman" w:eastAsia="Calibri" w:hAnsi="Times New Roman" w:cs="Times New Roman"/>
          <w:b/>
          <w:sz w:val="28"/>
          <w:szCs w:val="28"/>
        </w:rPr>
        <w:t xml:space="preserve"> G</w:t>
      </w:r>
      <w:r w:rsidRPr="00625EDA">
        <w:rPr>
          <w:rFonts w:ascii="Times New Roman" w:eastAsia="Calibri" w:hAnsi="Times New Roman" w:cs="Times New Roman"/>
          <w:b/>
          <w:sz w:val="28"/>
          <w:szCs w:val="28"/>
        </w:rPr>
        <w:t>etiriyor</w:t>
      </w:r>
      <w:r w:rsidR="00F97B5E" w:rsidRPr="00625EDA">
        <w:rPr>
          <w:rFonts w:ascii="Times New Roman" w:eastAsia="Calibri" w:hAnsi="Times New Roman" w:cs="Times New Roman"/>
          <w:b/>
          <w:sz w:val="28"/>
          <w:szCs w:val="28"/>
        </w:rPr>
        <w:t xml:space="preserve"> ?</w:t>
      </w:r>
    </w:p>
    <w:p w:rsidR="00F97B5E" w:rsidRDefault="00F97B5E" w:rsidP="00F97B5E">
      <w:pPr>
        <w:autoSpaceDE w:val="0"/>
        <w:autoSpaceDN w:val="0"/>
        <w:adjustRightInd w:val="0"/>
        <w:spacing w:after="0" w:line="240" w:lineRule="auto"/>
        <w:jc w:val="both"/>
        <w:rPr>
          <w:rFonts w:ascii="Arial" w:eastAsia="Calibri" w:hAnsi="Arial" w:cs="Arial"/>
          <w:sz w:val="18"/>
          <w:szCs w:val="18"/>
        </w:rPr>
      </w:pPr>
    </w:p>
    <w:p w:rsidR="00F97B5E" w:rsidRDefault="00F97B5E" w:rsidP="00F97B5E">
      <w:pPr>
        <w:autoSpaceDE w:val="0"/>
        <w:autoSpaceDN w:val="0"/>
        <w:adjustRightInd w:val="0"/>
        <w:spacing w:after="0"/>
        <w:jc w:val="both"/>
        <w:rPr>
          <w:rFonts w:ascii="Times New Roman" w:eastAsia="Calibri" w:hAnsi="Times New Roman" w:cs="Times New Roman"/>
          <w:sz w:val="24"/>
          <w:szCs w:val="24"/>
        </w:rPr>
      </w:pPr>
      <w:r w:rsidRPr="00FD07F9">
        <w:rPr>
          <w:rFonts w:ascii="Times New Roman" w:eastAsia="Calibri" w:hAnsi="Times New Roman" w:cs="Times New Roman"/>
          <w:sz w:val="24"/>
          <w:szCs w:val="24"/>
        </w:rPr>
        <w:t>Avrupa Birliği</w:t>
      </w:r>
      <w:r>
        <w:rPr>
          <w:rFonts w:ascii="Times New Roman" w:eastAsia="Calibri" w:hAnsi="Times New Roman" w:cs="Times New Roman"/>
          <w:sz w:val="24"/>
          <w:szCs w:val="24"/>
        </w:rPr>
        <w:t xml:space="preserve">’nde </w:t>
      </w:r>
      <w:r w:rsidRPr="00245C94">
        <w:rPr>
          <w:rFonts w:ascii="Times New Roman" w:eastAsia="Calibri" w:hAnsi="Times New Roman" w:cs="Times New Roman"/>
          <w:bCs/>
          <w:color w:val="333333"/>
          <w:sz w:val="24"/>
          <w:szCs w:val="24"/>
        </w:rPr>
        <w:t>27 Haziran 2012 tarihinde kabul edilen  yeni SEVESO III Direktifi,</w:t>
      </w:r>
      <w:r>
        <w:rPr>
          <w:rFonts w:ascii="Arial" w:eastAsia="Calibri" w:hAnsi="Arial" w:cs="Arial"/>
          <w:b/>
          <w:bCs/>
          <w:color w:val="333333"/>
          <w:sz w:val="18"/>
          <w:szCs w:val="18"/>
        </w:rPr>
        <w:t xml:space="preserve">  </w:t>
      </w:r>
      <w:r w:rsidRPr="00FD07F9">
        <w:rPr>
          <w:rFonts w:ascii="Times New Roman" w:eastAsia="Calibri" w:hAnsi="Times New Roman" w:cs="Times New Roman"/>
          <w:sz w:val="24"/>
          <w:szCs w:val="24"/>
        </w:rPr>
        <w:t>1996 yılında kabul edilen “Tehlikeli Maddelerle İlgili Büyük Kaza Risklerinin Kont</w:t>
      </w:r>
      <w:r>
        <w:rPr>
          <w:rFonts w:ascii="Times New Roman" w:eastAsia="Calibri" w:hAnsi="Times New Roman" w:cs="Times New Roman"/>
          <w:sz w:val="24"/>
          <w:szCs w:val="24"/>
        </w:rPr>
        <w:t>rolüne İlişkin Konsey Direktifi’ni</w:t>
      </w:r>
      <w:r w:rsidRPr="00FD07F9">
        <w:rPr>
          <w:rFonts w:ascii="Times New Roman" w:eastAsia="Calibri" w:hAnsi="Times New Roman" w:cs="Times New Roman"/>
          <w:sz w:val="24"/>
          <w:szCs w:val="24"/>
        </w:rPr>
        <w:t xml:space="preserve"> (96/82/EC Sayılı Seveso II Direktifi)</w:t>
      </w:r>
      <w:r w:rsidRPr="00245C94">
        <w:rPr>
          <w:rFonts w:ascii="Times New Roman" w:eastAsia="Calibri" w:hAnsi="Times New Roman" w:cs="Times New Roman"/>
          <w:sz w:val="24"/>
          <w:szCs w:val="24"/>
        </w:rPr>
        <w:t xml:space="preserve"> </w:t>
      </w:r>
      <w:r>
        <w:rPr>
          <w:rFonts w:ascii="Times New Roman" w:eastAsia="Calibri" w:hAnsi="Times New Roman" w:cs="Times New Roman"/>
          <w:sz w:val="24"/>
          <w:szCs w:val="24"/>
        </w:rPr>
        <w:t>1 Haziran 2015 tarihinden sonra</w:t>
      </w:r>
      <w:r w:rsidRPr="00FD07F9">
        <w:rPr>
          <w:rFonts w:ascii="Times New Roman" w:eastAsia="Calibri" w:hAnsi="Times New Roman" w:cs="Times New Roman"/>
          <w:sz w:val="24"/>
          <w:szCs w:val="24"/>
        </w:rPr>
        <w:t xml:space="preserve"> </w:t>
      </w:r>
      <w:r>
        <w:rPr>
          <w:rFonts w:ascii="Times New Roman" w:eastAsia="Calibri" w:hAnsi="Times New Roman" w:cs="Times New Roman"/>
          <w:sz w:val="24"/>
          <w:szCs w:val="24"/>
        </w:rPr>
        <w:t>yürürlükten kaldıracaktır. Yeni direktif kapsamında Avrupa’daki hali hazırda mevcut</w:t>
      </w:r>
      <w:r w:rsidRPr="00FD07F9">
        <w:rPr>
          <w:rFonts w:ascii="Times New Roman" w:eastAsia="Calibri" w:hAnsi="Times New Roman" w:cs="Times New Roman"/>
          <w:sz w:val="24"/>
          <w:szCs w:val="24"/>
        </w:rPr>
        <w:t xml:space="preserve"> 10 000 kuruluş</w:t>
      </w:r>
      <w:r>
        <w:rPr>
          <w:rFonts w:ascii="Times New Roman" w:eastAsia="Calibri" w:hAnsi="Times New Roman" w:cs="Times New Roman"/>
          <w:sz w:val="24"/>
          <w:szCs w:val="24"/>
        </w:rPr>
        <w:t xml:space="preserve">un yer aldığı mevcut </w:t>
      </w:r>
      <w:r w:rsidRPr="00FD07F9">
        <w:rPr>
          <w:rFonts w:ascii="Times New Roman" w:eastAsia="Calibri" w:hAnsi="Times New Roman" w:cs="Times New Roman"/>
          <w:sz w:val="24"/>
          <w:szCs w:val="24"/>
        </w:rPr>
        <w:t xml:space="preserve"> direktifin kapsamına girecek olan kuruluşların sayısında artış beklen</w:t>
      </w:r>
      <w:r>
        <w:rPr>
          <w:rFonts w:ascii="Times New Roman" w:eastAsia="Calibri" w:hAnsi="Times New Roman" w:cs="Times New Roman"/>
          <w:sz w:val="24"/>
          <w:szCs w:val="24"/>
        </w:rPr>
        <w:t>m</w:t>
      </w:r>
      <w:r w:rsidRPr="00FD07F9">
        <w:rPr>
          <w:rFonts w:ascii="Times New Roman" w:eastAsia="Calibri" w:hAnsi="Times New Roman" w:cs="Times New Roman"/>
          <w:sz w:val="24"/>
          <w:szCs w:val="24"/>
        </w:rPr>
        <w:t>iyor</w:t>
      </w:r>
      <w:r>
        <w:rPr>
          <w:rFonts w:ascii="Times New Roman" w:eastAsia="Calibri" w:hAnsi="Times New Roman" w:cs="Times New Roman"/>
          <w:sz w:val="24"/>
          <w:szCs w:val="24"/>
        </w:rPr>
        <w:t xml:space="preserve">. </w:t>
      </w:r>
      <w:r w:rsidRPr="00FD07F9">
        <w:rPr>
          <w:rFonts w:ascii="Times New Roman" w:eastAsia="Calibri" w:hAnsi="Times New Roman" w:cs="Times New Roman"/>
          <w:sz w:val="24"/>
          <w:szCs w:val="24"/>
        </w:rPr>
        <w:t xml:space="preserve">27 Haziran 2012 tarihinde kabul edilen </w:t>
      </w:r>
      <w:r>
        <w:rPr>
          <w:rFonts w:ascii="Times New Roman" w:eastAsia="Calibri" w:hAnsi="Times New Roman" w:cs="Times New Roman"/>
          <w:sz w:val="24"/>
          <w:szCs w:val="24"/>
        </w:rPr>
        <w:t xml:space="preserve">yeni </w:t>
      </w:r>
      <w:r w:rsidRPr="00FD07F9">
        <w:rPr>
          <w:rFonts w:ascii="Times New Roman" w:eastAsia="Calibri" w:hAnsi="Times New Roman" w:cs="Times New Roman"/>
          <w:sz w:val="24"/>
          <w:szCs w:val="24"/>
        </w:rPr>
        <w:t xml:space="preserve">Direktif </w:t>
      </w:r>
      <w:r>
        <w:rPr>
          <w:rFonts w:ascii="Times New Roman" w:eastAsia="Calibri" w:hAnsi="Times New Roman" w:cs="Times New Roman"/>
          <w:sz w:val="24"/>
          <w:szCs w:val="24"/>
        </w:rPr>
        <w:t xml:space="preserve">kapsamında </w:t>
      </w:r>
      <w:r w:rsidRPr="00FD07F9">
        <w:rPr>
          <w:rFonts w:ascii="Times New Roman" w:eastAsia="Calibri" w:hAnsi="Times New Roman" w:cs="Times New Roman"/>
          <w:sz w:val="24"/>
          <w:szCs w:val="24"/>
        </w:rPr>
        <w:t>aşağ</w:t>
      </w:r>
      <w:r>
        <w:rPr>
          <w:rFonts w:ascii="Times New Roman" w:eastAsia="Calibri" w:hAnsi="Times New Roman" w:cs="Times New Roman"/>
          <w:sz w:val="24"/>
          <w:szCs w:val="24"/>
        </w:rPr>
        <w:t xml:space="preserve">ıdaki hususlarda </w:t>
      </w:r>
      <w:r w:rsidRPr="00FD07F9">
        <w:rPr>
          <w:rFonts w:ascii="Times New Roman" w:eastAsia="Calibri" w:hAnsi="Times New Roman" w:cs="Times New Roman"/>
          <w:sz w:val="24"/>
          <w:szCs w:val="24"/>
        </w:rPr>
        <w:t>değişiklikler ve iyileştirmeler</w:t>
      </w:r>
      <w:r>
        <w:rPr>
          <w:rFonts w:ascii="Times New Roman" w:eastAsia="Calibri" w:hAnsi="Times New Roman" w:cs="Times New Roman"/>
          <w:sz w:val="24"/>
          <w:szCs w:val="24"/>
        </w:rPr>
        <w:t xml:space="preserve">in </w:t>
      </w:r>
      <w:r w:rsidRPr="00FD07F9">
        <w:rPr>
          <w:rFonts w:ascii="Times New Roman" w:eastAsia="Calibri" w:hAnsi="Times New Roman" w:cs="Times New Roman"/>
          <w:sz w:val="24"/>
          <w:szCs w:val="24"/>
        </w:rPr>
        <w:t xml:space="preserve"> gerçekleş</w:t>
      </w:r>
      <w:r>
        <w:rPr>
          <w:rFonts w:ascii="Times New Roman" w:eastAsia="Calibri" w:hAnsi="Times New Roman" w:cs="Times New Roman"/>
          <w:sz w:val="24"/>
          <w:szCs w:val="24"/>
        </w:rPr>
        <w:t>tirilmesi ön görülmüştür:</w:t>
      </w:r>
    </w:p>
    <w:p w:rsidR="00F97B5E" w:rsidRDefault="00854E01" w:rsidP="00F97B5E">
      <w:pPr>
        <w:numPr>
          <w:ilvl w:val="0"/>
          <w:numId w:val="23"/>
        </w:numPr>
        <w:shd w:val="clear" w:color="auto" w:fill="FFFFFF"/>
        <w:spacing w:after="15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Söz konusu direktif kapsamındaki tehlikeli maddelerin yer aldığı </w:t>
      </w:r>
      <w:r w:rsidR="00F97B5E">
        <w:rPr>
          <w:rFonts w:ascii="Times New Roman" w:eastAsia="Calibri" w:hAnsi="Times New Roman" w:cs="Times New Roman"/>
          <w:sz w:val="24"/>
          <w:szCs w:val="24"/>
        </w:rPr>
        <w:t>Ek 1’in</w:t>
      </w:r>
      <w:r w:rsidR="00F97B5E" w:rsidRPr="00FD07F9">
        <w:rPr>
          <w:rFonts w:ascii="Times New Roman" w:eastAsia="Calibri" w:hAnsi="Times New Roman" w:cs="Times New Roman"/>
          <w:sz w:val="24"/>
          <w:szCs w:val="24"/>
        </w:rPr>
        <w:t>, Maddelerin ve Karışımlarının Sınıflandırılması, Ambalajlanması ve Etiketlenmesi ile ilgili AB Tüzüğüne uyumlu hale getirilmesi;</w:t>
      </w:r>
      <w:r w:rsidR="00F97B5E" w:rsidRPr="007D0B2D">
        <w:rPr>
          <w:rFonts w:ascii="Times New Roman" w:eastAsia="Calibri" w:hAnsi="Times New Roman" w:cs="Times New Roman"/>
          <w:sz w:val="24"/>
          <w:szCs w:val="24"/>
        </w:rPr>
        <w:t xml:space="preserve"> </w:t>
      </w:r>
    </w:p>
    <w:p w:rsidR="00F97B5E" w:rsidRDefault="00F97B5E" w:rsidP="00F97B5E">
      <w:pPr>
        <w:numPr>
          <w:ilvl w:val="0"/>
          <w:numId w:val="23"/>
        </w:numPr>
        <w:shd w:val="clear" w:color="auto" w:fill="FFFFFF"/>
        <w:spacing w:after="150"/>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sidRPr="00FD07F9">
        <w:rPr>
          <w:rFonts w:ascii="Times New Roman" w:eastAsia="Calibri" w:hAnsi="Times New Roman" w:cs="Times New Roman"/>
          <w:sz w:val="24"/>
          <w:szCs w:val="24"/>
        </w:rPr>
        <w:t>üyük kazaların kontrolü ve alınacak önlemlerle ilgili halkın bilgilendirilmesi,</w:t>
      </w:r>
    </w:p>
    <w:p w:rsidR="00F97B5E" w:rsidRDefault="00F97B5E" w:rsidP="00F97B5E">
      <w:pPr>
        <w:numPr>
          <w:ilvl w:val="0"/>
          <w:numId w:val="23"/>
        </w:numPr>
        <w:shd w:val="clear" w:color="auto" w:fill="FFFFFF"/>
        <w:spacing w:after="150"/>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sidRPr="00FD07F9">
        <w:rPr>
          <w:rFonts w:ascii="Times New Roman" w:eastAsia="Calibri" w:hAnsi="Times New Roman" w:cs="Times New Roman"/>
          <w:sz w:val="24"/>
          <w:szCs w:val="24"/>
        </w:rPr>
        <w:t>ilgiye ulaşımı ve halkın karar alma süreçlerinde yer alması hususlarının iyileştirilmesi</w:t>
      </w:r>
      <w:r>
        <w:rPr>
          <w:rFonts w:ascii="Times New Roman" w:eastAsia="Calibri" w:hAnsi="Times New Roman" w:cs="Times New Roman"/>
          <w:sz w:val="24"/>
          <w:szCs w:val="24"/>
        </w:rPr>
        <w:t>,</w:t>
      </w:r>
      <w:r w:rsidRPr="007D0B2D">
        <w:rPr>
          <w:rFonts w:ascii="Times New Roman" w:eastAsia="Calibri" w:hAnsi="Times New Roman" w:cs="Times New Roman"/>
          <w:sz w:val="24"/>
          <w:szCs w:val="24"/>
        </w:rPr>
        <w:t xml:space="preserve"> </w:t>
      </w:r>
    </w:p>
    <w:p w:rsidR="00F97B5E" w:rsidRDefault="00F97B5E" w:rsidP="00F97B5E">
      <w:pPr>
        <w:numPr>
          <w:ilvl w:val="0"/>
          <w:numId w:val="23"/>
        </w:numPr>
        <w:shd w:val="clear" w:color="auto" w:fill="FFFFFF"/>
        <w:spacing w:after="150"/>
        <w:jc w:val="both"/>
        <w:rPr>
          <w:rFonts w:ascii="Times New Roman" w:eastAsia="Calibri" w:hAnsi="Times New Roman" w:cs="Times New Roman"/>
          <w:sz w:val="24"/>
          <w:szCs w:val="24"/>
        </w:rPr>
      </w:pPr>
      <w:r>
        <w:rPr>
          <w:rFonts w:ascii="Times New Roman" w:eastAsia="Calibri" w:hAnsi="Times New Roman" w:cs="Times New Roman"/>
          <w:sz w:val="24"/>
          <w:szCs w:val="24"/>
        </w:rPr>
        <w:t>Etkili bir uygula</w:t>
      </w:r>
      <w:r w:rsidRPr="00FD07F9">
        <w:rPr>
          <w:rFonts w:ascii="Times New Roman" w:eastAsia="Calibri" w:hAnsi="Times New Roman" w:cs="Times New Roman"/>
          <w:sz w:val="24"/>
          <w:szCs w:val="24"/>
        </w:rPr>
        <w:t>ması için denetimlere yönelik sıkı standartlar getirilmesi</w:t>
      </w:r>
      <w:r>
        <w:rPr>
          <w:rFonts w:ascii="Times New Roman" w:eastAsia="Calibri" w:hAnsi="Times New Roman" w:cs="Times New Roman"/>
          <w:sz w:val="24"/>
          <w:szCs w:val="24"/>
        </w:rPr>
        <w:t>, d</w:t>
      </w:r>
      <w:r w:rsidRPr="00FD07F9">
        <w:rPr>
          <w:rFonts w:ascii="Times New Roman" w:eastAsia="Calibri" w:hAnsi="Times New Roman" w:cs="Times New Roman"/>
          <w:sz w:val="24"/>
          <w:szCs w:val="24"/>
        </w:rPr>
        <w:t>irektifin Etkili bir şekilde uygulanması ve icra edilmesi için denetimlere yönelik sıkı standartlar getirilmesi</w:t>
      </w:r>
      <w:r>
        <w:rPr>
          <w:rFonts w:ascii="Times New Roman" w:eastAsia="Calibri" w:hAnsi="Times New Roman" w:cs="Times New Roman"/>
          <w:sz w:val="24"/>
          <w:szCs w:val="24"/>
        </w:rPr>
        <w:t xml:space="preserve"> planlanmıştır.</w:t>
      </w:r>
    </w:p>
    <w:p w:rsidR="00B67634" w:rsidRDefault="00BF3628" w:rsidP="00B67634">
      <w:pPr>
        <w:rPr>
          <w:rFonts w:ascii="Times New Roman" w:hAnsi="Times New Roman"/>
          <w:b/>
          <w:sz w:val="28"/>
          <w:szCs w:val="28"/>
        </w:rPr>
      </w:pPr>
      <w:r>
        <w:rPr>
          <w:rFonts w:ascii="Times New Roman" w:hAnsi="Times New Roman"/>
          <w:b/>
          <w:sz w:val="28"/>
          <w:szCs w:val="28"/>
        </w:rPr>
        <w:t xml:space="preserve">8- </w:t>
      </w:r>
      <w:r w:rsidR="00B67634">
        <w:rPr>
          <w:rFonts w:ascii="Times New Roman" w:hAnsi="Times New Roman"/>
          <w:b/>
          <w:sz w:val="28"/>
          <w:szCs w:val="28"/>
        </w:rPr>
        <w:t>A</w:t>
      </w:r>
      <w:r w:rsidR="00B67634" w:rsidRPr="00083F02">
        <w:rPr>
          <w:rFonts w:ascii="Times New Roman" w:hAnsi="Times New Roman"/>
          <w:b/>
          <w:sz w:val="28"/>
          <w:szCs w:val="28"/>
        </w:rPr>
        <w:t>tık Mevzuatı ve AB Düzenlemeleri İle Uyumu</w:t>
      </w:r>
    </w:p>
    <w:p w:rsidR="00B67634" w:rsidRPr="006206A9" w:rsidRDefault="00B67634" w:rsidP="00B67634">
      <w:pPr>
        <w:rPr>
          <w:rFonts w:ascii="Times New Roman" w:hAnsi="Times New Roman"/>
          <w:sz w:val="24"/>
          <w:szCs w:val="24"/>
        </w:rPr>
      </w:pPr>
      <w:r w:rsidRPr="006206A9">
        <w:rPr>
          <w:rFonts w:ascii="Times New Roman" w:hAnsi="Times New Roman"/>
          <w:sz w:val="24"/>
          <w:szCs w:val="24"/>
        </w:rPr>
        <w:t>AB’de atık yönetimi konusunda, 18 adet direktif mevcuttur ve önemli bir kısmı ulusal atık mevzuatımızla uyumlaştırılmıştır. Ana başlıklar şunlardır.</w:t>
      </w:r>
    </w:p>
    <w:p w:rsidR="00B67634" w:rsidRPr="006206A9" w:rsidRDefault="00B67634" w:rsidP="00B67634">
      <w:pPr>
        <w:numPr>
          <w:ilvl w:val="0"/>
          <w:numId w:val="6"/>
        </w:numPr>
        <w:spacing w:after="0" w:line="240" w:lineRule="auto"/>
        <w:rPr>
          <w:rFonts w:ascii="Times New Roman" w:hAnsi="Times New Roman"/>
          <w:sz w:val="24"/>
          <w:szCs w:val="24"/>
        </w:rPr>
      </w:pPr>
      <w:r w:rsidRPr="006206A9">
        <w:rPr>
          <w:rFonts w:ascii="Times New Roman" w:hAnsi="Times New Roman"/>
          <w:sz w:val="24"/>
          <w:szCs w:val="24"/>
        </w:rPr>
        <w:t>Çerçeve mevzuat,</w:t>
      </w:r>
    </w:p>
    <w:p w:rsidR="00B67634" w:rsidRPr="006206A9" w:rsidRDefault="00B67634" w:rsidP="00B67634">
      <w:pPr>
        <w:numPr>
          <w:ilvl w:val="0"/>
          <w:numId w:val="6"/>
        </w:numPr>
        <w:spacing w:after="0" w:line="240" w:lineRule="auto"/>
        <w:rPr>
          <w:rFonts w:ascii="Times New Roman" w:hAnsi="Times New Roman"/>
          <w:sz w:val="24"/>
          <w:szCs w:val="24"/>
        </w:rPr>
      </w:pPr>
      <w:r w:rsidRPr="006206A9">
        <w:rPr>
          <w:rFonts w:ascii="Times New Roman" w:hAnsi="Times New Roman"/>
          <w:sz w:val="24"/>
          <w:szCs w:val="24"/>
        </w:rPr>
        <w:t>Atık türüne göre yönetim,</w:t>
      </w:r>
    </w:p>
    <w:p w:rsidR="00B67634" w:rsidRPr="006206A9" w:rsidRDefault="00B67634" w:rsidP="00B67634">
      <w:pPr>
        <w:numPr>
          <w:ilvl w:val="0"/>
          <w:numId w:val="6"/>
        </w:numPr>
        <w:spacing w:after="0" w:line="240" w:lineRule="auto"/>
        <w:rPr>
          <w:rFonts w:ascii="Times New Roman" w:hAnsi="Times New Roman"/>
          <w:sz w:val="24"/>
          <w:szCs w:val="24"/>
        </w:rPr>
      </w:pPr>
      <w:r w:rsidRPr="006206A9">
        <w:rPr>
          <w:rFonts w:ascii="Times New Roman" w:hAnsi="Times New Roman"/>
          <w:sz w:val="24"/>
          <w:szCs w:val="24"/>
        </w:rPr>
        <w:t>İşletme ve bertaraf,</w:t>
      </w:r>
    </w:p>
    <w:p w:rsidR="00B67634" w:rsidRDefault="00B67634" w:rsidP="00B67634">
      <w:pPr>
        <w:numPr>
          <w:ilvl w:val="0"/>
          <w:numId w:val="6"/>
        </w:numPr>
        <w:spacing w:after="0" w:line="240" w:lineRule="auto"/>
        <w:rPr>
          <w:rFonts w:ascii="Times New Roman" w:hAnsi="Times New Roman"/>
          <w:sz w:val="24"/>
          <w:szCs w:val="24"/>
        </w:rPr>
      </w:pPr>
      <w:r w:rsidRPr="006206A9">
        <w:rPr>
          <w:rFonts w:ascii="Times New Roman" w:hAnsi="Times New Roman"/>
          <w:sz w:val="24"/>
          <w:szCs w:val="24"/>
        </w:rPr>
        <w:t>Taşıma</w:t>
      </w:r>
    </w:p>
    <w:p w:rsidR="00B67634" w:rsidRPr="006206A9" w:rsidRDefault="00B67634" w:rsidP="00B67634">
      <w:pPr>
        <w:spacing w:after="0" w:line="240" w:lineRule="auto"/>
        <w:ind w:left="720"/>
        <w:rPr>
          <w:rFonts w:ascii="Times New Roman" w:hAnsi="Times New Roman"/>
          <w:sz w:val="24"/>
          <w:szCs w:val="24"/>
        </w:rPr>
      </w:pPr>
    </w:p>
    <w:p w:rsidR="00B67634" w:rsidRPr="006206A9" w:rsidRDefault="00B67634" w:rsidP="00B67634">
      <w:pPr>
        <w:spacing w:after="0"/>
        <w:rPr>
          <w:rFonts w:ascii="Times New Roman" w:hAnsi="Times New Roman"/>
          <w:sz w:val="24"/>
          <w:szCs w:val="24"/>
        </w:rPr>
      </w:pPr>
      <w:r w:rsidRPr="006206A9">
        <w:rPr>
          <w:rFonts w:ascii="Times New Roman" w:hAnsi="Times New Roman"/>
          <w:sz w:val="24"/>
          <w:szCs w:val="24"/>
        </w:rPr>
        <w:t>Çevre faslı kapsamında atık yönetimi konusunda yerine getirilmesi gereken konular ise özetle;</w:t>
      </w:r>
    </w:p>
    <w:p w:rsidR="00B67634" w:rsidRPr="006206A9" w:rsidRDefault="00B67634" w:rsidP="00B67634">
      <w:pPr>
        <w:numPr>
          <w:ilvl w:val="0"/>
          <w:numId w:val="7"/>
        </w:numPr>
        <w:spacing w:after="0"/>
        <w:rPr>
          <w:rFonts w:ascii="Times New Roman" w:hAnsi="Times New Roman"/>
          <w:sz w:val="24"/>
          <w:szCs w:val="24"/>
        </w:rPr>
      </w:pPr>
      <w:r w:rsidRPr="006206A9">
        <w:rPr>
          <w:rFonts w:ascii="Times New Roman" w:hAnsi="Times New Roman"/>
          <w:sz w:val="24"/>
          <w:szCs w:val="24"/>
        </w:rPr>
        <w:t>Entegre atık yönetim planlarının hazırlanması ve uygulanması</w:t>
      </w:r>
    </w:p>
    <w:p w:rsidR="00B67634" w:rsidRPr="006206A9" w:rsidRDefault="00B67634" w:rsidP="00B67634">
      <w:pPr>
        <w:numPr>
          <w:ilvl w:val="0"/>
          <w:numId w:val="7"/>
        </w:numPr>
        <w:spacing w:after="0"/>
        <w:rPr>
          <w:rFonts w:ascii="Times New Roman" w:hAnsi="Times New Roman"/>
          <w:sz w:val="24"/>
          <w:szCs w:val="24"/>
        </w:rPr>
      </w:pPr>
      <w:r w:rsidRPr="006206A9">
        <w:rPr>
          <w:rFonts w:ascii="Times New Roman" w:hAnsi="Times New Roman"/>
          <w:sz w:val="24"/>
          <w:szCs w:val="24"/>
        </w:rPr>
        <w:t>Kaynağında ayrı toplama ve geri dönüşüme öncelik verilmesi</w:t>
      </w:r>
    </w:p>
    <w:p w:rsidR="00B67634" w:rsidRPr="006206A9" w:rsidRDefault="00B67634" w:rsidP="00B67634">
      <w:pPr>
        <w:numPr>
          <w:ilvl w:val="0"/>
          <w:numId w:val="7"/>
        </w:numPr>
        <w:spacing w:after="0"/>
        <w:rPr>
          <w:rFonts w:ascii="Times New Roman" w:hAnsi="Times New Roman"/>
          <w:sz w:val="24"/>
          <w:szCs w:val="24"/>
        </w:rPr>
      </w:pPr>
      <w:r w:rsidRPr="006206A9">
        <w:rPr>
          <w:rFonts w:ascii="Times New Roman" w:hAnsi="Times New Roman"/>
          <w:sz w:val="24"/>
          <w:szCs w:val="24"/>
        </w:rPr>
        <w:t>Düzenli depolamaya gidecek organik madde miktarının giderek azaltılması</w:t>
      </w:r>
    </w:p>
    <w:p w:rsidR="00B67634" w:rsidRPr="006206A9" w:rsidRDefault="00B67634" w:rsidP="00B67634">
      <w:pPr>
        <w:numPr>
          <w:ilvl w:val="0"/>
          <w:numId w:val="7"/>
        </w:numPr>
        <w:spacing w:after="0"/>
        <w:rPr>
          <w:rFonts w:ascii="Times New Roman" w:hAnsi="Times New Roman"/>
          <w:sz w:val="24"/>
          <w:szCs w:val="24"/>
        </w:rPr>
      </w:pPr>
      <w:r w:rsidRPr="006206A9">
        <w:rPr>
          <w:rFonts w:ascii="Times New Roman" w:hAnsi="Times New Roman"/>
          <w:sz w:val="24"/>
          <w:szCs w:val="24"/>
        </w:rPr>
        <w:t xml:space="preserve">Düzensiz depolama sahaları rehabilitasyonu </w:t>
      </w:r>
    </w:p>
    <w:p w:rsidR="00B67634" w:rsidRDefault="00B67634" w:rsidP="00B67634">
      <w:pPr>
        <w:numPr>
          <w:ilvl w:val="0"/>
          <w:numId w:val="7"/>
        </w:numPr>
        <w:spacing w:after="0"/>
        <w:rPr>
          <w:rFonts w:ascii="Times New Roman" w:hAnsi="Times New Roman"/>
          <w:sz w:val="24"/>
          <w:szCs w:val="24"/>
        </w:rPr>
      </w:pPr>
      <w:r w:rsidRPr="006206A9">
        <w:rPr>
          <w:rFonts w:ascii="Times New Roman" w:hAnsi="Times New Roman"/>
          <w:sz w:val="24"/>
          <w:szCs w:val="24"/>
        </w:rPr>
        <w:t xml:space="preserve">Tehlikeli atık yönetiminde atık azaltma ve geri kazanımı esas alan, kayıt ve takibe imkân veren bir </w:t>
      </w:r>
      <w:r w:rsidRPr="006206A9">
        <w:rPr>
          <w:rFonts w:ascii="Times New Roman" w:hAnsi="Times New Roman"/>
          <w:b/>
          <w:bCs/>
          <w:sz w:val="24"/>
          <w:szCs w:val="24"/>
        </w:rPr>
        <w:t>atık yönetim sisteminin</w:t>
      </w:r>
      <w:r w:rsidRPr="006206A9">
        <w:rPr>
          <w:rFonts w:ascii="Times New Roman" w:hAnsi="Times New Roman"/>
          <w:sz w:val="24"/>
          <w:szCs w:val="24"/>
        </w:rPr>
        <w:t xml:space="preserve"> kurulmasıdır.</w:t>
      </w:r>
    </w:p>
    <w:p w:rsidR="00B67634" w:rsidRDefault="00B67634" w:rsidP="00B67634">
      <w:pPr>
        <w:spacing w:after="0"/>
        <w:rPr>
          <w:rFonts w:ascii="Times New Roman" w:hAnsi="Times New Roman"/>
          <w:sz w:val="24"/>
          <w:szCs w:val="24"/>
        </w:rPr>
      </w:pPr>
      <w:r w:rsidRPr="006206A9">
        <w:rPr>
          <w:rFonts w:ascii="Times New Roman" w:hAnsi="Times New Roman"/>
          <w:sz w:val="24"/>
          <w:szCs w:val="24"/>
        </w:rPr>
        <w:t>Diğer taraftan atık yönetimi için, uygulamayı içeren tam uyumun sağlanması için gerekli yatırım maliyeti 9,56 Milyar Avro’dur ki bu miktar tüm çevre faslı yatırım maliyetinin %16.31’ini kapsamaktadır. Söz konusu maliyet, atığın bertarafı ve geri kazanımı için gerekli olan entegre atık bertaraf tesisleri ve ara depolamalar için gerekli yatırım maliyeti olup, teknoloji adaptasyonu maliyetini kapsamamaktadır.</w:t>
      </w:r>
    </w:p>
    <w:p w:rsidR="00B67634" w:rsidRPr="006206A9" w:rsidRDefault="00B67634" w:rsidP="00B67634">
      <w:pPr>
        <w:rPr>
          <w:rFonts w:ascii="Times New Roman" w:hAnsi="Times New Roman"/>
          <w:sz w:val="24"/>
          <w:szCs w:val="24"/>
        </w:rPr>
      </w:pPr>
      <w:r>
        <w:rPr>
          <w:rFonts w:ascii="Times New Roman" w:hAnsi="Times New Roman"/>
          <w:sz w:val="24"/>
          <w:szCs w:val="24"/>
        </w:rPr>
        <w:t>Avrupa Birliği’nde atıklar 75/442/EEC sayılı Atık Çerçeve Direktifi, 2008/98/EC sayılı Atıklara İlişkin Direktif, 2000/532/EC sayılı Atık Listesinin Oluşturulmasına İlişkin Karar ile yürütülmektedir.</w:t>
      </w:r>
    </w:p>
    <w:p w:rsidR="00B67634" w:rsidRDefault="00B67634" w:rsidP="00B67634">
      <w:pPr>
        <w:rPr>
          <w:rFonts w:ascii="Times New Roman" w:hAnsi="Times New Roman"/>
          <w:sz w:val="24"/>
          <w:szCs w:val="24"/>
        </w:rPr>
      </w:pPr>
      <w:r w:rsidRPr="006206A9">
        <w:rPr>
          <w:rFonts w:ascii="Times New Roman" w:hAnsi="Times New Roman"/>
          <w:sz w:val="24"/>
          <w:szCs w:val="24"/>
        </w:rPr>
        <w:t>Türkiye’de</w:t>
      </w:r>
      <w:r>
        <w:rPr>
          <w:rFonts w:ascii="Times New Roman" w:hAnsi="Times New Roman"/>
          <w:sz w:val="24"/>
          <w:szCs w:val="24"/>
        </w:rPr>
        <w:t xml:space="preserve"> ise</w:t>
      </w:r>
      <w:r w:rsidRPr="006206A9">
        <w:rPr>
          <w:rFonts w:ascii="Times New Roman" w:hAnsi="Times New Roman"/>
          <w:sz w:val="24"/>
          <w:szCs w:val="24"/>
        </w:rPr>
        <w:t xml:space="preserve"> atık yönetimi yedi ana başlık altında yürütülmektedir. Bunlar “Ambalaj Atıkları Yönetimi”, “Atık Yağların, PCB ve PCT'lerin Yönetimi”,  “Belediye Atıkları Yönetimi “, “Maden Atıkları ve Tehlikesiz Atıkların Yönetimi “, “Özel Atıkların Yönetimi”, “Sağlık Kuruluşları Atıklarının Yönetimi”, “Tehlikeli Atık Yönetimi”dir.</w:t>
      </w:r>
    </w:p>
    <w:p w:rsidR="00B67634" w:rsidRDefault="00B67634" w:rsidP="00B67634">
      <w:pPr>
        <w:rPr>
          <w:rFonts w:ascii="Times New Roman" w:hAnsi="Times New Roman"/>
          <w:sz w:val="24"/>
          <w:szCs w:val="24"/>
        </w:rPr>
      </w:pPr>
      <w:r>
        <w:rPr>
          <w:rFonts w:ascii="Times New Roman" w:hAnsi="Times New Roman"/>
          <w:sz w:val="24"/>
          <w:szCs w:val="24"/>
        </w:rPr>
        <w:t>Bu kapsamda Türkiye’deki tebliğler şunlardır;</w:t>
      </w:r>
    </w:p>
    <w:p w:rsidR="00B67634" w:rsidRPr="00ED0BF9" w:rsidRDefault="00B67634" w:rsidP="00A017C5">
      <w:pPr>
        <w:numPr>
          <w:ilvl w:val="0"/>
          <w:numId w:val="8"/>
        </w:numPr>
        <w:spacing w:after="0" w:line="240" w:lineRule="auto"/>
        <w:rPr>
          <w:rFonts w:ascii="Times New Roman" w:hAnsi="Times New Roman"/>
          <w:sz w:val="24"/>
          <w:szCs w:val="24"/>
        </w:rPr>
      </w:pPr>
      <w:r w:rsidRPr="00ED0BF9">
        <w:rPr>
          <w:rFonts w:ascii="Times New Roman" w:hAnsi="Times New Roman"/>
          <w:bCs/>
          <w:sz w:val="24"/>
          <w:szCs w:val="24"/>
        </w:rPr>
        <w:t>Tanker Temizleme Tesisleri Tebliği (2009)</w:t>
      </w:r>
      <w:r w:rsidRPr="00ED0BF9">
        <w:rPr>
          <w:rFonts w:ascii="Times New Roman" w:hAnsi="Times New Roman"/>
          <w:sz w:val="24"/>
          <w:szCs w:val="24"/>
        </w:rPr>
        <w:t xml:space="preserve"> </w:t>
      </w:r>
    </w:p>
    <w:p w:rsidR="00B67634" w:rsidRPr="00ED0BF9" w:rsidRDefault="00B67634" w:rsidP="00A017C5">
      <w:pPr>
        <w:numPr>
          <w:ilvl w:val="0"/>
          <w:numId w:val="8"/>
        </w:numPr>
        <w:spacing w:after="0" w:line="240" w:lineRule="auto"/>
        <w:rPr>
          <w:rFonts w:ascii="Times New Roman" w:hAnsi="Times New Roman"/>
          <w:sz w:val="24"/>
          <w:szCs w:val="24"/>
        </w:rPr>
      </w:pPr>
      <w:r w:rsidRPr="00ED0BF9">
        <w:rPr>
          <w:rFonts w:ascii="Times New Roman" w:hAnsi="Times New Roman"/>
          <w:bCs/>
          <w:sz w:val="24"/>
          <w:szCs w:val="24"/>
        </w:rPr>
        <w:lastRenderedPageBreak/>
        <w:t>Pil ve Akümülatörlerin İthalat Denetimlerine Dair Dış Ticarette Standardizasyon Tebliği (2012/15)</w:t>
      </w:r>
      <w:r w:rsidRPr="00ED0BF9">
        <w:rPr>
          <w:rFonts w:ascii="Times New Roman" w:hAnsi="Times New Roman"/>
          <w:sz w:val="24"/>
          <w:szCs w:val="24"/>
        </w:rPr>
        <w:t xml:space="preserve"> </w:t>
      </w:r>
    </w:p>
    <w:p w:rsidR="00B67634" w:rsidRPr="00ED0BF9" w:rsidRDefault="00B67634" w:rsidP="00A017C5">
      <w:pPr>
        <w:numPr>
          <w:ilvl w:val="0"/>
          <w:numId w:val="8"/>
        </w:numPr>
        <w:spacing w:after="0" w:line="240" w:lineRule="auto"/>
        <w:rPr>
          <w:rFonts w:ascii="Times New Roman" w:hAnsi="Times New Roman"/>
          <w:sz w:val="24"/>
          <w:szCs w:val="24"/>
        </w:rPr>
      </w:pPr>
      <w:r w:rsidRPr="00ED0BF9">
        <w:rPr>
          <w:rFonts w:ascii="Times New Roman" w:hAnsi="Times New Roman"/>
          <w:bCs/>
          <w:sz w:val="24"/>
          <w:szCs w:val="24"/>
        </w:rPr>
        <w:t>Bazı Tehlikesiz Atıkların Geri Kazanımı Tebliği (2011)</w:t>
      </w:r>
      <w:r w:rsidRPr="00ED0BF9">
        <w:rPr>
          <w:rFonts w:ascii="Times New Roman" w:hAnsi="Times New Roman"/>
          <w:sz w:val="24"/>
          <w:szCs w:val="24"/>
        </w:rPr>
        <w:t xml:space="preserve"> </w:t>
      </w:r>
    </w:p>
    <w:p w:rsidR="00B67634" w:rsidRPr="00ED0BF9" w:rsidRDefault="00B67634" w:rsidP="00A017C5">
      <w:pPr>
        <w:numPr>
          <w:ilvl w:val="0"/>
          <w:numId w:val="8"/>
        </w:numPr>
        <w:spacing w:after="0" w:line="240" w:lineRule="auto"/>
        <w:rPr>
          <w:rFonts w:ascii="Times New Roman" w:hAnsi="Times New Roman"/>
          <w:sz w:val="24"/>
          <w:szCs w:val="24"/>
        </w:rPr>
      </w:pPr>
      <w:r w:rsidRPr="00ED0BF9">
        <w:rPr>
          <w:rFonts w:ascii="Times New Roman" w:hAnsi="Times New Roman"/>
          <w:bCs/>
          <w:sz w:val="24"/>
          <w:szCs w:val="24"/>
        </w:rPr>
        <w:t xml:space="preserve">Çevrenin Korunması Yönünden Kontrol Altında Tutulan Atıkların İthalatına Dair DTS Tebliği (2012/3) </w:t>
      </w:r>
    </w:p>
    <w:p w:rsidR="00B67634" w:rsidRPr="00ED0BF9" w:rsidRDefault="00B67634" w:rsidP="00A017C5">
      <w:pPr>
        <w:numPr>
          <w:ilvl w:val="0"/>
          <w:numId w:val="8"/>
        </w:numPr>
        <w:spacing w:after="0" w:line="240" w:lineRule="auto"/>
        <w:rPr>
          <w:rFonts w:ascii="Times New Roman" w:hAnsi="Times New Roman"/>
          <w:sz w:val="24"/>
          <w:szCs w:val="24"/>
        </w:rPr>
      </w:pPr>
      <w:r w:rsidRPr="00ED0BF9">
        <w:rPr>
          <w:rFonts w:ascii="Times New Roman" w:hAnsi="Times New Roman"/>
          <w:bCs/>
          <w:sz w:val="24"/>
          <w:szCs w:val="24"/>
        </w:rPr>
        <w:t xml:space="preserve">Çevrenin Korunması Yönünden Kontrol Altında Tutulan Metal Hurdalara İlişkin DTS Tebliği (2012/23) </w:t>
      </w:r>
    </w:p>
    <w:p w:rsidR="00530628" w:rsidRPr="00A77E90" w:rsidRDefault="00B67634" w:rsidP="00A017C5">
      <w:pPr>
        <w:autoSpaceDE w:val="0"/>
        <w:autoSpaceDN w:val="0"/>
        <w:adjustRightInd w:val="0"/>
        <w:spacing w:after="0"/>
        <w:ind w:firstLine="708"/>
        <w:jc w:val="both"/>
        <w:rPr>
          <w:rFonts w:ascii="Times New Roman" w:hAnsi="Times New Roman" w:cs="Times New Roman"/>
          <w:noProof w:val="0"/>
          <w:sz w:val="24"/>
          <w:szCs w:val="24"/>
        </w:rPr>
      </w:pPr>
      <w:r>
        <w:rPr>
          <w:rFonts w:ascii="Times New Roman" w:hAnsi="Times New Roman"/>
          <w:sz w:val="24"/>
          <w:szCs w:val="24"/>
          <w:lang w:eastAsia="tr-TR"/>
        </w:rPr>
        <w:drawing>
          <wp:inline distT="0" distB="0" distL="0" distR="0">
            <wp:extent cx="5067128" cy="6257925"/>
            <wp:effectExtent l="19050" t="0" r="172"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6" cstate="print"/>
                    <a:srcRect l="19228" t="26546" r="3976" b="12888"/>
                    <a:stretch>
                      <a:fillRect/>
                    </a:stretch>
                  </pic:blipFill>
                  <pic:spPr bwMode="auto">
                    <a:xfrm>
                      <a:off x="0" y="0"/>
                      <a:ext cx="5066657" cy="6257344"/>
                    </a:xfrm>
                    <a:prstGeom prst="rect">
                      <a:avLst/>
                    </a:prstGeom>
                    <a:noFill/>
                    <a:ln w="9525">
                      <a:noFill/>
                      <a:miter lim="800000"/>
                      <a:headEnd/>
                      <a:tailEnd/>
                    </a:ln>
                  </pic:spPr>
                </pic:pic>
              </a:graphicData>
            </a:graphic>
          </wp:inline>
        </w:drawing>
      </w:r>
    </w:p>
    <w:p w:rsidR="00A77E90" w:rsidRPr="00A77E90" w:rsidRDefault="00A77E90" w:rsidP="00A77E90">
      <w:pPr>
        <w:jc w:val="both"/>
        <w:rPr>
          <w:rFonts w:ascii="Times New Roman" w:hAnsi="Times New Roman" w:cs="Times New Roman"/>
          <w:sz w:val="24"/>
          <w:szCs w:val="24"/>
        </w:rPr>
      </w:pPr>
    </w:p>
    <w:p w:rsidR="00B67634" w:rsidRDefault="00B67634" w:rsidP="00B67634">
      <w:pPr>
        <w:rPr>
          <w:rFonts w:ascii="Times New Roman" w:hAnsi="Times New Roman"/>
          <w:sz w:val="24"/>
          <w:szCs w:val="24"/>
          <w:lang w:eastAsia="tr-TR"/>
        </w:rPr>
      </w:pPr>
      <w:r w:rsidRPr="0020683C">
        <w:rPr>
          <w:rFonts w:ascii="Times New Roman" w:hAnsi="Times New Roman"/>
          <w:b/>
          <w:sz w:val="24"/>
          <w:szCs w:val="24"/>
          <w:lang w:eastAsia="tr-TR"/>
        </w:rPr>
        <w:t>Şekil 1:</w:t>
      </w:r>
      <w:r>
        <w:rPr>
          <w:rFonts w:ascii="Times New Roman" w:hAnsi="Times New Roman"/>
          <w:sz w:val="24"/>
          <w:szCs w:val="24"/>
          <w:lang w:eastAsia="tr-TR"/>
        </w:rPr>
        <w:t xml:space="preserve"> Atık Yönetimine İlişkin Ulusal Mevzuat</w:t>
      </w:r>
    </w:p>
    <w:p w:rsidR="004F4B42" w:rsidRDefault="004F4B42" w:rsidP="00CF46A8">
      <w:pPr>
        <w:spacing w:after="0"/>
        <w:rPr>
          <w:rFonts w:ascii="Times New Roman" w:hAnsi="Times New Roman"/>
          <w:b/>
          <w:sz w:val="28"/>
          <w:szCs w:val="28"/>
        </w:rPr>
      </w:pPr>
    </w:p>
    <w:p w:rsidR="004F4B42" w:rsidRDefault="004F4B42" w:rsidP="00CF46A8">
      <w:pPr>
        <w:spacing w:after="0"/>
        <w:rPr>
          <w:rFonts w:ascii="Times New Roman" w:hAnsi="Times New Roman"/>
          <w:b/>
          <w:sz w:val="28"/>
          <w:szCs w:val="28"/>
        </w:rPr>
      </w:pPr>
    </w:p>
    <w:p w:rsidR="004F4B42" w:rsidRDefault="004F4B42" w:rsidP="00CF46A8">
      <w:pPr>
        <w:spacing w:after="0"/>
        <w:rPr>
          <w:rFonts w:ascii="Times New Roman" w:hAnsi="Times New Roman"/>
          <w:b/>
          <w:sz w:val="28"/>
          <w:szCs w:val="28"/>
        </w:rPr>
      </w:pPr>
    </w:p>
    <w:p w:rsidR="004F4B42" w:rsidRDefault="004F4B42" w:rsidP="00CF46A8">
      <w:pPr>
        <w:spacing w:after="0"/>
        <w:rPr>
          <w:rFonts w:ascii="Times New Roman" w:hAnsi="Times New Roman"/>
          <w:b/>
          <w:sz w:val="28"/>
          <w:szCs w:val="28"/>
        </w:rPr>
      </w:pPr>
    </w:p>
    <w:p w:rsidR="00CF46A8" w:rsidRDefault="001C6BDB" w:rsidP="00CF46A8">
      <w:pPr>
        <w:spacing w:after="0"/>
        <w:rPr>
          <w:rFonts w:ascii="Times New Roman" w:hAnsi="Times New Roman"/>
          <w:b/>
          <w:sz w:val="28"/>
          <w:szCs w:val="28"/>
        </w:rPr>
      </w:pPr>
      <w:r>
        <w:rPr>
          <w:rFonts w:ascii="Times New Roman" w:hAnsi="Times New Roman"/>
          <w:b/>
          <w:sz w:val="28"/>
          <w:szCs w:val="28"/>
        </w:rPr>
        <w:t xml:space="preserve">9- </w:t>
      </w:r>
      <w:r w:rsidR="00CF46A8" w:rsidRPr="00F97DB1">
        <w:rPr>
          <w:rFonts w:ascii="Times New Roman" w:hAnsi="Times New Roman"/>
          <w:b/>
          <w:sz w:val="28"/>
          <w:szCs w:val="28"/>
        </w:rPr>
        <w:t>Çevresel Etki Değerlendirmesi</w:t>
      </w:r>
      <w:r w:rsidR="00CF46A8">
        <w:rPr>
          <w:rFonts w:ascii="Times New Roman" w:hAnsi="Times New Roman"/>
          <w:b/>
          <w:sz w:val="28"/>
          <w:szCs w:val="28"/>
        </w:rPr>
        <w:t xml:space="preserve"> (ÇED) Yönetmeliği</w:t>
      </w:r>
    </w:p>
    <w:p w:rsidR="00CF46A8" w:rsidRDefault="00CF46A8" w:rsidP="00CF46A8">
      <w:pPr>
        <w:spacing w:after="0"/>
        <w:rPr>
          <w:rFonts w:ascii="Times New Roman" w:hAnsi="Times New Roman"/>
          <w:b/>
          <w:sz w:val="28"/>
          <w:szCs w:val="28"/>
        </w:rPr>
      </w:pPr>
    </w:p>
    <w:p w:rsidR="00CF46A8" w:rsidRDefault="00CF46A8" w:rsidP="00CF46A8">
      <w:pPr>
        <w:rPr>
          <w:rFonts w:ascii="Times New Roman" w:hAnsi="Times New Roman"/>
          <w:sz w:val="24"/>
          <w:szCs w:val="24"/>
        </w:rPr>
      </w:pPr>
      <w:r w:rsidRPr="00F97DB1">
        <w:rPr>
          <w:rFonts w:ascii="Times New Roman" w:eastAsia="Calibri" w:hAnsi="Times New Roman" w:cs="Times New Roman"/>
          <w:sz w:val="24"/>
          <w:szCs w:val="24"/>
        </w:rPr>
        <w:t>Çevresel Etki Değerlendirmesi (ÇED); belirli bir proje veya gelişmenin, çevre üzerindeki önemli etkilerinin belirlendiği bir süreçtir. ÇED'in amacı; ekonomik ve sosyal gelişmeye engel olmaksızın, çevre değerlerini ekonomik politikalar karşısında korumak, planlanan bir faaliyetin yol açabileceği bütün olumsuz çevresel etkilerin önceden tespit edilip, gerekli tedbirlerin alınmasını sağlamaktır.</w:t>
      </w:r>
    </w:p>
    <w:p w:rsidR="00CF46A8" w:rsidRDefault="00CF46A8" w:rsidP="00CF46A8">
      <w:pPr>
        <w:rPr>
          <w:rFonts w:ascii="Times New Roman" w:hAnsi="Times New Roman"/>
          <w:sz w:val="24"/>
          <w:szCs w:val="24"/>
        </w:rPr>
      </w:pPr>
      <w:r w:rsidRPr="00EE47F8">
        <w:rPr>
          <w:rFonts w:ascii="Times New Roman" w:hAnsi="Times New Roman" w:cs="Times New Roman"/>
          <w:sz w:val="24"/>
          <w:szCs w:val="24"/>
        </w:rPr>
        <w:t xml:space="preserve">Türkiye'de 1993 yılından bugüne etkin olarak uygulanan ÇED değerlendirmesi, çevre izni/çevre izin ve lisansları ile işyeri açma ruhsatlarının alınmasında son derece önemlidir. </w:t>
      </w:r>
    </w:p>
    <w:p w:rsidR="00CF46A8" w:rsidRDefault="00CF46A8" w:rsidP="00CF46A8">
      <w:pPr>
        <w:spacing w:after="0"/>
        <w:rPr>
          <w:rFonts w:ascii="Times New Roman" w:hAnsi="Times New Roman"/>
          <w:sz w:val="24"/>
          <w:szCs w:val="24"/>
        </w:rPr>
      </w:pPr>
      <w:r w:rsidRPr="002C0D10">
        <w:rPr>
          <w:rFonts w:ascii="Times New Roman" w:eastAsia="Calibri" w:hAnsi="Times New Roman" w:cs="Times New Roman"/>
          <w:sz w:val="24"/>
          <w:szCs w:val="24"/>
        </w:rPr>
        <w:t xml:space="preserve">Çevresel etki değerlendirmesi yönetmeliği </w:t>
      </w:r>
      <w:r>
        <w:rPr>
          <w:rFonts w:ascii="Times New Roman" w:hAnsi="Times New Roman"/>
          <w:sz w:val="24"/>
          <w:szCs w:val="24"/>
        </w:rPr>
        <w:t>E</w:t>
      </w:r>
      <w:r w:rsidRPr="002C0D10">
        <w:rPr>
          <w:rFonts w:ascii="Times New Roman" w:eastAsia="Calibri" w:hAnsi="Times New Roman" w:cs="Times New Roman"/>
          <w:sz w:val="24"/>
          <w:szCs w:val="24"/>
        </w:rPr>
        <w:t xml:space="preserve">k-1 listesinde yer alan veya </w:t>
      </w:r>
      <w:r>
        <w:rPr>
          <w:rFonts w:ascii="Times New Roman" w:hAnsi="Times New Roman"/>
          <w:sz w:val="24"/>
          <w:szCs w:val="24"/>
        </w:rPr>
        <w:t>E</w:t>
      </w:r>
      <w:r w:rsidRPr="002C0D10">
        <w:rPr>
          <w:rFonts w:ascii="Times New Roman" w:eastAsia="Calibri" w:hAnsi="Times New Roman" w:cs="Times New Roman"/>
          <w:sz w:val="24"/>
          <w:szCs w:val="24"/>
        </w:rPr>
        <w:t xml:space="preserve">k-2 listesinde yer alıp çevresel etki değerlendirmesi gereklidir kararı verilen faaliyetler </w:t>
      </w:r>
      <w:r>
        <w:rPr>
          <w:rFonts w:ascii="Times New Roman" w:hAnsi="Times New Roman"/>
          <w:sz w:val="24"/>
          <w:szCs w:val="24"/>
        </w:rPr>
        <w:t>ÇED</w:t>
      </w:r>
      <w:r w:rsidRPr="002C0D10">
        <w:rPr>
          <w:rFonts w:ascii="Times New Roman" w:eastAsia="Calibri" w:hAnsi="Times New Roman" w:cs="Times New Roman"/>
          <w:sz w:val="24"/>
          <w:szCs w:val="24"/>
        </w:rPr>
        <w:t xml:space="preserve"> yönetmeliğinin </w:t>
      </w:r>
      <w:r>
        <w:rPr>
          <w:rFonts w:ascii="Times New Roman" w:hAnsi="Times New Roman"/>
          <w:sz w:val="24"/>
          <w:szCs w:val="24"/>
        </w:rPr>
        <w:t>Ek-3’ünde yer alan formata göre B</w:t>
      </w:r>
      <w:r w:rsidRPr="002C0D10">
        <w:rPr>
          <w:rFonts w:ascii="Times New Roman" w:eastAsia="Calibri" w:hAnsi="Times New Roman" w:cs="Times New Roman"/>
          <w:sz w:val="24"/>
          <w:szCs w:val="24"/>
        </w:rPr>
        <w:t xml:space="preserve">akanlıkça yetkilendirilmiş kuruluşlara </w:t>
      </w:r>
      <w:r>
        <w:rPr>
          <w:rFonts w:ascii="Times New Roman" w:hAnsi="Times New Roman"/>
          <w:sz w:val="24"/>
          <w:szCs w:val="24"/>
        </w:rPr>
        <w:t>ÇED</w:t>
      </w:r>
      <w:r w:rsidRPr="002C0D10">
        <w:rPr>
          <w:rFonts w:ascii="Times New Roman" w:eastAsia="Calibri" w:hAnsi="Times New Roman" w:cs="Times New Roman"/>
          <w:sz w:val="24"/>
          <w:szCs w:val="24"/>
        </w:rPr>
        <w:t xml:space="preserve"> raporu hazırlatmakla yükümlüdür.</w:t>
      </w:r>
    </w:p>
    <w:p w:rsidR="00CF46A8" w:rsidRPr="002C0D10" w:rsidRDefault="00CF46A8" w:rsidP="00CF46A8">
      <w:pPr>
        <w:spacing w:after="0"/>
        <w:rPr>
          <w:rFonts w:ascii="Times New Roman" w:eastAsia="Calibri" w:hAnsi="Times New Roman"/>
          <w:sz w:val="24"/>
          <w:szCs w:val="24"/>
        </w:rPr>
      </w:pPr>
    </w:p>
    <w:p w:rsidR="00CF46A8" w:rsidRDefault="00CF46A8" w:rsidP="00CF46A8">
      <w:pPr>
        <w:spacing w:after="0"/>
        <w:rPr>
          <w:rFonts w:ascii="Times New Roman" w:hAnsi="Times New Roman"/>
          <w:sz w:val="24"/>
          <w:szCs w:val="24"/>
        </w:rPr>
      </w:pPr>
      <w:r w:rsidRPr="002C0D10">
        <w:rPr>
          <w:rFonts w:ascii="Times New Roman" w:eastAsia="Calibri" w:hAnsi="Times New Roman" w:cs="Times New Roman"/>
          <w:sz w:val="24"/>
          <w:szCs w:val="24"/>
        </w:rPr>
        <w:t xml:space="preserve">Çevresel etki değerlendirmesi yönetmeliği </w:t>
      </w:r>
      <w:r>
        <w:rPr>
          <w:rFonts w:ascii="Times New Roman" w:hAnsi="Times New Roman"/>
          <w:sz w:val="24"/>
          <w:szCs w:val="24"/>
        </w:rPr>
        <w:t>E</w:t>
      </w:r>
      <w:r w:rsidRPr="002C0D10">
        <w:rPr>
          <w:rFonts w:ascii="Times New Roman" w:eastAsia="Calibri" w:hAnsi="Times New Roman" w:cs="Times New Roman"/>
          <w:sz w:val="24"/>
          <w:szCs w:val="24"/>
        </w:rPr>
        <w:t xml:space="preserve">k-2 listesinde yer alan faaliyetler ise  bulunduğu ile göre o ilin </w:t>
      </w:r>
      <w:r>
        <w:rPr>
          <w:rFonts w:ascii="Times New Roman" w:hAnsi="Times New Roman"/>
          <w:sz w:val="24"/>
          <w:szCs w:val="24"/>
        </w:rPr>
        <w:t>V</w:t>
      </w:r>
      <w:r w:rsidRPr="002C0D10">
        <w:rPr>
          <w:rFonts w:ascii="Times New Roman" w:eastAsia="Calibri" w:hAnsi="Times New Roman" w:cs="Times New Roman"/>
          <w:sz w:val="24"/>
          <w:szCs w:val="24"/>
        </w:rPr>
        <w:t xml:space="preserve">aliliğine yada </w:t>
      </w:r>
      <w:r>
        <w:rPr>
          <w:rFonts w:ascii="Times New Roman" w:hAnsi="Times New Roman"/>
          <w:sz w:val="24"/>
          <w:szCs w:val="24"/>
        </w:rPr>
        <w:t>B</w:t>
      </w:r>
      <w:r w:rsidRPr="002C0D10">
        <w:rPr>
          <w:rFonts w:ascii="Times New Roman" w:eastAsia="Calibri" w:hAnsi="Times New Roman" w:cs="Times New Roman"/>
          <w:sz w:val="24"/>
          <w:szCs w:val="24"/>
        </w:rPr>
        <w:t xml:space="preserve">akanlığa </w:t>
      </w:r>
      <w:r>
        <w:rPr>
          <w:rFonts w:ascii="Times New Roman" w:hAnsi="Times New Roman"/>
          <w:sz w:val="24"/>
          <w:szCs w:val="24"/>
        </w:rPr>
        <w:t>E</w:t>
      </w:r>
      <w:r w:rsidRPr="002C0D10">
        <w:rPr>
          <w:rFonts w:ascii="Times New Roman" w:eastAsia="Calibri" w:hAnsi="Times New Roman" w:cs="Times New Roman"/>
          <w:sz w:val="24"/>
          <w:szCs w:val="24"/>
        </w:rPr>
        <w:t>k-4’de yer alan formata göre proje tanıtım dosyası hazırlamak ve sunmakla yükümlüdürler.</w:t>
      </w:r>
    </w:p>
    <w:p w:rsidR="00CF46A8" w:rsidRDefault="00CF46A8" w:rsidP="00CF46A8">
      <w:pPr>
        <w:spacing w:after="0"/>
        <w:rPr>
          <w:rFonts w:ascii="Times New Roman" w:hAnsi="Times New Roman"/>
          <w:sz w:val="24"/>
          <w:szCs w:val="24"/>
        </w:rPr>
      </w:pPr>
      <w:r w:rsidRPr="0007550D">
        <w:rPr>
          <w:rFonts w:ascii="Times New Roman" w:hAnsi="Times New Roman" w:cs="Times New Roman"/>
          <w:sz w:val="24"/>
          <w:szCs w:val="24"/>
        </w:rPr>
        <w:t xml:space="preserve">Çevresel Etki Değerlendirmesi Olumlu Kararı veya </w:t>
      </w:r>
      <w:r>
        <w:rPr>
          <w:rFonts w:ascii="Times New Roman" w:hAnsi="Times New Roman"/>
          <w:sz w:val="24"/>
          <w:szCs w:val="24"/>
        </w:rPr>
        <w:t>“</w:t>
      </w:r>
      <w:r w:rsidRPr="0007550D">
        <w:rPr>
          <w:rFonts w:ascii="Times New Roman" w:hAnsi="Times New Roman" w:cs="Times New Roman"/>
          <w:sz w:val="24"/>
          <w:szCs w:val="24"/>
        </w:rPr>
        <w:t>Çevresel Etki Değerlendirmesi Gerekli Değildir</w:t>
      </w:r>
      <w:r>
        <w:rPr>
          <w:rFonts w:ascii="Times New Roman" w:hAnsi="Times New Roman"/>
          <w:sz w:val="24"/>
          <w:szCs w:val="24"/>
        </w:rPr>
        <w:t>”</w:t>
      </w:r>
      <w:r w:rsidRPr="0007550D">
        <w:rPr>
          <w:rFonts w:ascii="Times New Roman" w:hAnsi="Times New Roman" w:cs="Times New Roman"/>
          <w:sz w:val="24"/>
          <w:szCs w:val="24"/>
        </w:rPr>
        <w:t xml:space="preserve"> </w:t>
      </w:r>
      <w:r>
        <w:rPr>
          <w:rFonts w:ascii="Times New Roman" w:hAnsi="Times New Roman"/>
          <w:sz w:val="24"/>
          <w:szCs w:val="24"/>
        </w:rPr>
        <w:t>k</w:t>
      </w:r>
      <w:r w:rsidRPr="0007550D">
        <w:rPr>
          <w:rFonts w:ascii="Times New Roman" w:hAnsi="Times New Roman" w:cs="Times New Roman"/>
          <w:sz w:val="24"/>
          <w:szCs w:val="24"/>
        </w:rPr>
        <w:t>ararı alınmadıkça bu projelerle ilgili onay, izin, teşvik, yapı ve kullanım ruhsatı verilemez; proje için yatırıma başlanamaz ve ihale edilemez.</w:t>
      </w:r>
    </w:p>
    <w:p w:rsidR="00CF46A8" w:rsidRDefault="00CF46A8" w:rsidP="00CF46A8">
      <w:pPr>
        <w:spacing w:after="0"/>
        <w:rPr>
          <w:rFonts w:ascii="Times New Roman" w:hAnsi="Times New Roman"/>
          <w:sz w:val="24"/>
          <w:szCs w:val="24"/>
        </w:rPr>
      </w:pPr>
    </w:p>
    <w:p w:rsidR="00CF46A8" w:rsidRDefault="00CF46A8" w:rsidP="00CF46A8">
      <w:pPr>
        <w:spacing w:after="0"/>
        <w:rPr>
          <w:rFonts w:ascii="Times New Roman" w:hAnsi="Times New Roman"/>
          <w:sz w:val="24"/>
          <w:szCs w:val="24"/>
        </w:rPr>
      </w:pPr>
      <w:r>
        <w:rPr>
          <w:rFonts w:ascii="Times New Roman" w:hAnsi="Times New Roman"/>
          <w:sz w:val="24"/>
          <w:szCs w:val="24"/>
        </w:rPr>
        <w:t>Son değişikliği 30/06/2011 tarihinde yapılan ÇED Yönetmeliği, AB Mevzuatı ile büyük ölçüde paralellik göstermektedir ancak sınır ötesi istişareler yapılmasına yönelik usullerde henüz tam uyum ve uygulamada etkinlik sağlanmış bulunmamaktadır.</w:t>
      </w:r>
    </w:p>
    <w:p w:rsidR="00CF46A8" w:rsidRDefault="00CF46A8" w:rsidP="00CF46A8">
      <w:pPr>
        <w:spacing w:after="0"/>
        <w:rPr>
          <w:rFonts w:ascii="Times New Roman" w:hAnsi="Times New Roman"/>
          <w:sz w:val="24"/>
          <w:szCs w:val="24"/>
        </w:rPr>
      </w:pPr>
    </w:p>
    <w:p w:rsidR="00B67634" w:rsidRPr="001416C2" w:rsidRDefault="001C6BDB" w:rsidP="00B67634">
      <w:pPr>
        <w:rPr>
          <w:rFonts w:ascii="Times New Roman" w:hAnsi="Times New Roman"/>
          <w:b/>
          <w:sz w:val="28"/>
          <w:szCs w:val="28"/>
        </w:rPr>
      </w:pPr>
      <w:r>
        <w:rPr>
          <w:rFonts w:ascii="Times New Roman" w:hAnsi="Times New Roman"/>
          <w:b/>
          <w:sz w:val="28"/>
          <w:szCs w:val="28"/>
        </w:rPr>
        <w:t xml:space="preserve">10- </w:t>
      </w:r>
      <w:r w:rsidR="00B67634" w:rsidRPr="001416C2">
        <w:rPr>
          <w:rFonts w:ascii="Times New Roman" w:hAnsi="Times New Roman"/>
          <w:b/>
          <w:sz w:val="28"/>
          <w:szCs w:val="28"/>
        </w:rPr>
        <w:t>Türkiye Atıklar Konusundaki AB Mevzuatı İle Ne Kadar Uyumlu?</w:t>
      </w:r>
    </w:p>
    <w:p w:rsidR="00B67634" w:rsidRDefault="00B67634" w:rsidP="00B67634">
      <w:pPr>
        <w:rPr>
          <w:rFonts w:ascii="Times New Roman" w:hAnsi="Times New Roman"/>
          <w:sz w:val="24"/>
          <w:szCs w:val="24"/>
        </w:rPr>
      </w:pPr>
      <w:r>
        <w:rPr>
          <w:rFonts w:ascii="Times New Roman" w:hAnsi="Times New Roman"/>
          <w:sz w:val="24"/>
          <w:szCs w:val="24"/>
        </w:rPr>
        <w:t>Türkiye, 2008 yılında yayınlanan Atık Yönetimi Genel Esaslarına İlişkin yönetmelik ile, AB’nin Atık Çerçeve Direktifi’ne büyük ölçüde uyumlu hale gelmiştir, ilgili yönetmeliklerle de tehlikeli ve tehlikesiz atıklar kategorisine giren tüm atıkları AB ile uyumlu bir şekilde listelemektedir.</w:t>
      </w:r>
    </w:p>
    <w:p w:rsidR="00B67634" w:rsidRDefault="00B67634" w:rsidP="00B67634">
      <w:pPr>
        <w:pStyle w:val="GvdeMetni"/>
        <w:rPr>
          <w:color w:val="auto"/>
          <w:sz w:val="18"/>
          <w:szCs w:val="18"/>
          <w:lang w:val="tr-TR" w:eastAsia="tr-TR"/>
        </w:rPr>
      </w:pPr>
      <w:r w:rsidRPr="007D78D6">
        <w:rPr>
          <w:color w:val="auto"/>
          <w:szCs w:val="24"/>
        </w:rPr>
        <w:t>Diğer taraftan Avrupa Birliği üyelik sürecinde</w:t>
      </w:r>
      <w:r w:rsidRPr="007D78D6">
        <w:rPr>
          <w:b/>
          <w:color w:val="auto"/>
          <w:szCs w:val="24"/>
        </w:rPr>
        <w:t xml:space="preserve"> </w:t>
      </w:r>
      <w:r w:rsidRPr="007D78D6">
        <w:rPr>
          <w:color w:val="auto"/>
          <w:szCs w:val="24"/>
        </w:rPr>
        <w:t>Atık Elektrikli ve Elektronik Eşyalar için</w:t>
      </w:r>
      <w:r w:rsidRPr="007D78D6">
        <w:rPr>
          <w:b/>
          <w:color w:val="auto"/>
          <w:szCs w:val="24"/>
        </w:rPr>
        <w:t xml:space="preserve"> </w:t>
      </w:r>
      <w:r w:rsidRPr="007D78D6">
        <w:rPr>
          <w:color w:val="auto"/>
          <w:szCs w:val="24"/>
        </w:rPr>
        <w:t xml:space="preserve">Çevre ve Şehircilik Bakanlığı </w:t>
      </w:r>
      <w:r w:rsidRPr="007D78D6">
        <w:rPr>
          <w:color w:val="auto"/>
          <w:lang w:val="tr-TR"/>
        </w:rPr>
        <w:t xml:space="preserve">uygulamada benzerlik gösteren ve birbirini tamamlayan yönetmeliklerin birleştirilmesi politikası çerçevesinde, </w:t>
      </w:r>
      <w:r w:rsidRPr="007D78D6">
        <w:rPr>
          <w:bCs/>
          <w:color w:val="auto"/>
        </w:rPr>
        <w:t xml:space="preserve">2002/95/EC sayılı RoHS Direktifi ile 2002/96/EC sayılı WEEE Direktifi’nin tek bir yönetmelik olarak yayımlanması kararı </w:t>
      </w:r>
      <w:proofErr w:type="gramStart"/>
      <w:r w:rsidRPr="007D78D6">
        <w:rPr>
          <w:bCs/>
          <w:color w:val="auto"/>
        </w:rPr>
        <w:t xml:space="preserve">kapsamında </w:t>
      </w:r>
      <w:r w:rsidRPr="007D78D6">
        <w:rPr>
          <w:bCs/>
          <w:color w:val="auto"/>
          <w:u w:val="single"/>
        </w:rPr>
        <w:t xml:space="preserve"> 22</w:t>
      </w:r>
      <w:proofErr w:type="gramEnd"/>
      <w:r w:rsidRPr="007D78D6">
        <w:rPr>
          <w:bCs/>
          <w:color w:val="auto"/>
          <w:u w:val="single"/>
        </w:rPr>
        <w:t>/05/2012 tarihinde 28300 sayılı Resmi Gazete’de</w:t>
      </w:r>
      <w:r w:rsidRPr="007D78D6">
        <w:rPr>
          <w:b/>
          <w:bCs/>
          <w:color w:val="auto"/>
          <w:u w:val="single"/>
        </w:rPr>
        <w:t xml:space="preserve"> </w:t>
      </w:r>
      <w:r w:rsidRPr="007D78D6">
        <w:rPr>
          <w:bCs/>
          <w:color w:val="auto"/>
        </w:rPr>
        <w:t>“Atık Elektrikli ve Elektronik Eşyaların Kontrolü Yönetmeliği”ni yayımlamıştır.</w:t>
      </w:r>
      <w:r w:rsidRPr="007D78D6">
        <w:rPr>
          <w:color w:val="auto"/>
          <w:sz w:val="18"/>
          <w:szCs w:val="18"/>
          <w:lang w:val="tr-TR" w:eastAsia="tr-TR"/>
        </w:rPr>
        <w:t xml:space="preserve"> </w:t>
      </w:r>
    </w:p>
    <w:p w:rsidR="00B67634" w:rsidRDefault="00B67634" w:rsidP="00B67634">
      <w:pPr>
        <w:pStyle w:val="GvdeMetni"/>
        <w:rPr>
          <w:color w:val="auto"/>
          <w:sz w:val="18"/>
          <w:szCs w:val="18"/>
          <w:lang w:val="tr-TR" w:eastAsia="tr-TR"/>
        </w:rPr>
      </w:pPr>
    </w:p>
    <w:p w:rsidR="00B67634" w:rsidRDefault="00B67634" w:rsidP="00B67634">
      <w:pPr>
        <w:pStyle w:val="GvdeMetni"/>
        <w:rPr>
          <w:color w:val="auto"/>
          <w:szCs w:val="24"/>
        </w:rPr>
      </w:pPr>
      <w:r>
        <w:rPr>
          <w:color w:val="auto"/>
          <w:szCs w:val="24"/>
        </w:rPr>
        <w:t xml:space="preserve">Elektrikli ve elektronik eşyaların üretiminden nihai bertarafına kadar çevre ve insan sağlığının korunması, elektrikli ve elektronik atıkların oluşumunun ve bertaraf edilecek atık miktarının azaltılması için yeniden kullanım, geri dönüşüm, geri kazanım yöntemleri ve hedefleri ile ithalat, ihracat ve transit geçişlere ilişkin hukuki ve teknik esasları düzenlemek amacıyla </w:t>
      </w:r>
      <w:r>
        <w:rPr>
          <w:color w:val="auto"/>
          <w:szCs w:val="24"/>
        </w:rPr>
        <w:lastRenderedPageBreak/>
        <w:t>yayımlanan yönetmelik kapsamında AEEE yönetim planı hazırlama, teminat verme ve koordinasyon merkezinin oluşturulması yükümlülükleri 22/05/2013 tarihinde başlayacaktır.</w:t>
      </w:r>
    </w:p>
    <w:p w:rsidR="00B67634" w:rsidRPr="001B579C" w:rsidRDefault="00B67634" w:rsidP="00B67634">
      <w:pPr>
        <w:pStyle w:val="GvdeMetni"/>
        <w:rPr>
          <w:color w:val="auto"/>
          <w:szCs w:val="24"/>
        </w:rPr>
      </w:pPr>
    </w:p>
    <w:p w:rsidR="00B67634" w:rsidRPr="008D20FD" w:rsidRDefault="00B67634" w:rsidP="00B67634">
      <w:pPr>
        <w:pStyle w:val="GvdeMetni"/>
        <w:rPr>
          <w:color w:val="auto"/>
          <w:szCs w:val="24"/>
        </w:rPr>
      </w:pPr>
      <w:proofErr w:type="gramStart"/>
      <w:r w:rsidRPr="001B579C">
        <w:rPr>
          <w:color w:val="auto"/>
          <w:szCs w:val="24"/>
        </w:rPr>
        <w:t>Diğer taraftan Avrupa Birliği’ne uyum sürecinde yürürlüğe girecek olan</w:t>
      </w:r>
      <w:r>
        <w:rPr>
          <w:color w:val="auto"/>
          <w:szCs w:val="24"/>
        </w:rPr>
        <w:t xml:space="preserve"> </w:t>
      </w:r>
      <w:r w:rsidRPr="008D20FD">
        <w:rPr>
          <w:color w:val="auto"/>
          <w:szCs w:val="24"/>
        </w:rPr>
        <w:t>“Maden Atıklarının Kontrolü Yönetmeliği”</w:t>
      </w:r>
      <w:r>
        <w:rPr>
          <w:color w:val="auto"/>
          <w:szCs w:val="24"/>
        </w:rPr>
        <w:t xml:space="preserve"> ve </w:t>
      </w:r>
      <w:r w:rsidRPr="008D20FD">
        <w:rPr>
          <w:color w:val="auto"/>
          <w:szCs w:val="24"/>
        </w:rPr>
        <w:t>“Atıkların Taşınımı Yönetmeliği”</w:t>
      </w:r>
      <w:r>
        <w:rPr>
          <w:szCs w:val="24"/>
        </w:rPr>
        <w:t xml:space="preserve"> </w:t>
      </w:r>
      <w:r w:rsidRPr="008D20FD">
        <w:rPr>
          <w:color w:val="auto"/>
          <w:szCs w:val="24"/>
        </w:rPr>
        <w:t>çalışmaları devam etmektedir.</w:t>
      </w:r>
      <w:proofErr w:type="gramEnd"/>
      <w:r>
        <w:rPr>
          <w:szCs w:val="24"/>
        </w:rPr>
        <w:t xml:space="preserve"> </w:t>
      </w:r>
    </w:p>
    <w:p w:rsidR="00EA0A47" w:rsidRDefault="00EA0A47" w:rsidP="00EA0A47">
      <w:pPr>
        <w:pStyle w:val="GvdeMetni"/>
        <w:rPr>
          <w:color w:val="auto"/>
          <w:szCs w:val="24"/>
        </w:rPr>
      </w:pPr>
    </w:p>
    <w:p w:rsidR="00EA0A47" w:rsidRPr="00536FDF" w:rsidRDefault="001C6BDB" w:rsidP="00EA0A47">
      <w:pPr>
        <w:pStyle w:val="GvdeMetni"/>
        <w:rPr>
          <w:b/>
          <w:color w:val="auto"/>
          <w:sz w:val="28"/>
          <w:szCs w:val="28"/>
        </w:rPr>
      </w:pPr>
      <w:r>
        <w:rPr>
          <w:b/>
          <w:color w:val="auto"/>
          <w:sz w:val="28"/>
          <w:szCs w:val="28"/>
        </w:rPr>
        <w:t xml:space="preserve">11- </w:t>
      </w:r>
      <w:r w:rsidR="00EA0A47" w:rsidRPr="00536FDF">
        <w:rPr>
          <w:b/>
          <w:color w:val="auto"/>
          <w:sz w:val="28"/>
          <w:szCs w:val="28"/>
        </w:rPr>
        <w:t>Atık Yakma Direktifi Uygulamaları</w:t>
      </w:r>
    </w:p>
    <w:p w:rsidR="00EA0A47" w:rsidRDefault="00EA0A47" w:rsidP="00EA0A47">
      <w:pPr>
        <w:pStyle w:val="GvdeMetni"/>
        <w:rPr>
          <w:color w:val="auto"/>
          <w:szCs w:val="24"/>
        </w:rPr>
      </w:pPr>
    </w:p>
    <w:p w:rsidR="00EA0A47" w:rsidRDefault="00EA0A47" w:rsidP="00EA0A47">
      <w:pPr>
        <w:pStyle w:val="GvdeMetni"/>
        <w:rPr>
          <w:color w:val="auto"/>
          <w:szCs w:val="24"/>
        </w:rPr>
      </w:pPr>
      <w:proofErr w:type="gramStart"/>
      <w:r w:rsidRPr="00043B50">
        <w:rPr>
          <w:color w:val="auto"/>
          <w:szCs w:val="24"/>
        </w:rPr>
        <w:t>Atık Yakma Direktifi</w:t>
      </w:r>
      <w:r>
        <w:rPr>
          <w:color w:val="auto"/>
          <w:szCs w:val="24"/>
        </w:rPr>
        <w:t xml:space="preserve"> Avrupa Birliği’nde </w:t>
      </w:r>
      <w:r w:rsidRPr="00043B50">
        <w:rPr>
          <w:color w:val="auto"/>
          <w:szCs w:val="24"/>
        </w:rPr>
        <w:t>atıkların yalnız ya da diğer yakıtlarla birlikte yakılmasının çevre üzerinde yaratabileceği olumsuz etkileri, özellikle hava, toprak, yüzey suları ve yeraltı emisyonları sonucu oluşan kirliliği ve insan sağlığı için ortaya çıkabilecek riskleri uygulanabilir yöntemlerle önlemek veya sınırlandırmak üzere 2000 yıl</w:t>
      </w:r>
      <w:r>
        <w:rPr>
          <w:color w:val="auto"/>
          <w:szCs w:val="24"/>
        </w:rPr>
        <w:t>ında yayımlanmıştır.</w:t>
      </w:r>
      <w:proofErr w:type="gramEnd"/>
    </w:p>
    <w:p w:rsidR="00EA0A47" w:rsidRPr="00043B50" w:rsidRDefault="00EA0A47" w:rsidP="00EA0A47">
      <w:pPr>
        <w:pStyle w:val="GvdeMetni"/>
        <w:rPr>
          <w:color w:val="auto"/>
          <w:szCs w:val="24"/>
        </w:rPr>
      </w:pPr>
    </w:p>
    <w:p w:rsidR="00EA0A47" w:rsidRDefault="00EA0A47" w:rsidP="00EA0A47">
      <w:pPr>
        <w:pStyle w:val="GvdeMetni"/>
        <w:rPr>
          <w:color w:val="auto"/>
          <w:szCs w:val="24"/>
        </w:rPr>
      </w:pPr>
      <w:proofErr w:type="gramStart"/>
      <w:r w:rsidRPr="00043B50">
        <w:rPr>
          <w:color w:val="auto"/>
          <w:szCs w:val="24"/>
        </w:rPr>
        <w:t>Türkiye’de ise AB’ye tam üyelik doğrultusunda, Ç</w:t>
      </w:r>
      <w:r>
        <w:rPr>
          <w:color w:val="auto"/>
          <w:szCs w:val="24"/>
        </w:rPr>
        <w:t>evre ve Şehircilik Bakanlığı</w:t>
      </w:r>
      <w:r w:rsidRPr="00043B50">
        <w:rPr>
          <w:color w:val="auto"/>
          <w:szCs w:val="24"/>
        </w:rPr>
        <w:t xml:space="preserve"> tarafından 06/10/2010 tarihli ve 27721 sayılı Resmi Gazete’de “Atıkların Yakılmasına İlişkin Yönetmelik” yayı</w:t>
      </w:r>
      <w:r>
        <w:rPr>
          <w:color w:val="auto"/>
          <w:szCs w:val="24"/>
        </w:rPr>
        <w:t>m</w:t>
      </w:r>
      <w:r w:rsidRPr="00043B50">
        <w:rPr>
          <w:color w:val="auto"/>
          <w:szCs w:val="24"/>
        </w:rPr>
        <w:t>lanarak, AB Atık Yakma Direktifi u</w:t>
      </w:r>
      <w:r>
        <w:rPr>
          <w:color w:val="auto"/>
          <w:szCs w:val="24"/>
        </w:rPr>
        <w:t>lusal mevzuata uyumlaştırılmıştır.</w:t>
      </w:r>
      <w:proofErr w:type="gramEnd"/>
      <w:r>
        <w:rPr>
          <w:color w:val="auto"/>
          <w:szCs w:val="24"/>
        </w:rPr>
        <w:t xml:space="preserve"> </w:t>
      </w:r>
      <w:r w:rsidRPr="00043B50">
        <w:rPr>
          <w:color w:val="auto"/>
          <w:szCs w:val="24"/>
        </w:rPr>
        <w:t>Yönetmeli</w:t>
      </w:r>
      <w:r>
        <w:rPr>
          <w:color w:val="auto"/>
          <w:szCs w:val="24"/>
        </w:rPr>
        <w:t>k</w:t>
      </w:r>
      <w:r w:rsidRPr="00043B50">
        <w:rPr>
          <w:color w:val="auto"/>
          <w:szCs w:val="24"/>
        </w:rPr>
        <w:t xml:space="preserve"> mevcut ve yeni kurulacak yakma ve birlikte yakma tesisleri için hava ve atıksu değerleri ile ilgili limitler getirece</w:t>
      </w:r>
      <w:r>
        <w:rPr>
          <w:color w:val="auto"/>
          <w:szCs w:val="24"/>
        </w:rPr>
        <w:t>k</w:t>
      </w:r>
      <w:r w:rsidRPr="00043B50">
        <w:rPr>
          <w:color w:val="auto"/>
          <w:szCs w:val="24"/>
        </w:rPr>
        <w:t xml:space="preserve">, mevcut tesislerin en geç 31/12/2012 tarihine </w:t>
      </w:r>
      <w:proofErr w:type="gramStart"/>
      <w:r w:rsidRPr="00043B50">
        <w:rPr>
          <w:color w:val="auto"/>
          <w:szCs w:val="24"/>
        </w:rPr>
        <w:t>kadar</w:t>
      </w:r>
      <w:proofErr w:type="gramEnd"/>
      <w:r w:rsidRPr="00043B50">
        <w:rPr>
          <w:color w:val="auto"/>
          <w:szCs w:val="24"/>
        </w:rPr>
        <w:t xml:space="preserve"> bu yönetmelikte yer alan şartları sağlayac</w:t>
      </w:r>
      <w:r w:rsidR="00370916">
        <w:rPr>
          <w:color w:val="auto"/>
          <w:szCs w:val="24"/>
        </w:rPr>
        <w:t>a</w:t>
      </w:r>
      <w:r w:rsidRPr="00043B50">
        <w:rPr>
          <w:color w:val="auto"/>
          <w:szCs w:val="24"/>
        </w:rPr>
        <w:t>k şekilde tedbir almaları</w:t>
      </w:r>
      <w:r>
        <w:rPr>
          <w:color w:val="auto"/>
          <w:szCs w:val="24"/>
        </w:rPr>
        <w:t>nın gerek</w:t>
      </w:r>
      <w:r w:rsidR="00370916">
        <w:rPr>
          <w:color w:val="auto"/>
          <w:szCs w:val="24"/>
        </w:rPr>
        <w:t>tir</w:t>
      </w:r>
      <w:r>
        <w:rPr>
          <w:color w:val="auto"/>
          <w:szCs w:val="24"/>
        </w:rPr>
        <w:t xml:space="preserve">ecektir. </w:t>
      </w:r>
      <w:proofErr w:type="gramStart"/>
      <w:r w:rsidRPr="00043B50">
        <w:rPr>
          <w:color w:val="auto"/>
          <w:szCs w:val="24"/>
        </w:rPr>
        <w:t xml:space="preserve">Türkiye’de bu yönetmelik kapsamında atık bertarafı ya da geri kazanımı gerçekleştiren lisanslı 38 adet tesis (29 Çimento, 3 Kireç, 2 Metal, 3 Yakma, 1 Gazlaştırma tesisi) </w:t>
      </w:r>
      <w:r>
        <w:rPr>
          <w:color w:val="auto"/>
          <w:szCs w:val="24"/>
        </w:rPr>
        <w:t>bulunmaktadır.</w:t>
      </w:r>
      <w:proofErr w:type="gramEnd"/>
    </w:p>
    <w:p w:rsidR="00EA0A47" w:rsidRPr="00043B50" w:rsidRDefault="00EA0A47" w:rsidP="00EA0A47">
      <w:pPr>
        <w:pStyle w:val="GvdeMetni"/>
        <w:rPr>
          <w:color w:val="auto"/>
          <w:szCs w:val="24"/>
        </w:rPr>
      </w:pPr>
    </w:p>
    <w:p w:rsidR="00EA0A47" w:rsidRDefault="00EA0A47" w:rsidP="00EA0A47">
      <w:pPr>
        <w:pStyle w:val="GvdeMetni"/>
        <w:rPr>
          <w:color w:val="auto"/>
          <w:szCs w:val="24"/>
        </w:rPr>
      </w:pPr>
      <w:r w:rsidRPr="00043B50">
        <w:rPr>
          <w:color w:val="auto"/>
          <w:szCs w:val="24"/>
        </w:rPr>
        <w:t>Avrupa Birliği ülkelerinde toplanan atıkların %5</w:t>
      </w:r>
      <w:proofErr w:type="gramStart"/>
      <w:r w:rsidRPr="00043B50">
        <w:rPr>
          <w:color w:val="auto"/>
          <w:szCs w:val="24"/>
        </w:rPr>
        <w:t>,4</w:t>
      </w:r>
      <w:r>
        <w:rPr>
          <w:color w:val="auto"/>
          <w:szCs w:val="24"/>
        </w:rPr>
        <w:t>’ünün</w:t>
      </w:r>
      <w:proofErr w:type="gramEnd"/>
      <w:r>
        <w:rPr>
          <w:color w:val="auto"/>
          <w:szCs w:val="24"/>
        </w:rPr>
        <w:t xml:space="preserve"> yakma ile bertaraf edilmekte</w:t>
      </w:r>
      <w:r w:rsidRPr="00043B50">
        <w:rPr>
          <w:color w:val="auto"/>
          <w:szCs w:val="24"/>
        </w:rPr>
        <w:t>, Türkiye’de</w:t>
      </w:r>
      <w:r>
        <w:rPr>
          <w:color w:val="auto"/>
          <w:szCs w:val="24"/>
        </w:rPr>
        <w:t xml:space="preserve"> ise</w:t>
      </w:r>
      <w:r w:rsidRPr="00043B50">
        <w:rPr>
          <w:color w:val="auto"/>
          <w:szCs w:val="24"/>
        </w:rPr>
        <w:t xml:space="preserve"> bu rakam %0,4 </w:t>
      </w:r>
      <w:r>
        <w:rPr>
          <w:color w:val="auto"/>
          <w:szCs w:val="24"/>
        </w:rPr>
        <w:t>civarındadır.</w:t>
      </w:r>
      <w:r w:rsidRPr="00043B50">
        <w:rPr>
          <w:color w:val="auto"/>
          <w:szCs w:val="24"/>
        </w:rPr>
        <w:t xml:space="preserve"> </w:t>
      </w:r>
    </w:p>
    <w:p w:rsidR="00EA0A47" w:rsidRPr="00043B50" w:rsidRDefault="00EA0A47" w:rsidP="00EA0A47">
      <w:pPr>
        <w:pStyle w:val="GvdeMetni"/>
        <w:rPr>
          <w:color w:val="auto"/>
          <w:szCs w:val="24"/>
        </w:rPr>
      </w:pPr>
    </w:p>
    <w:p w:rsidR="00EA0A47" w:rsidRPr="00043B50" w:rsidRDefault="00EA0A47" w:rsidP="00EA0A47">
      <w:pPr>
        <w:pStyle w:val="GvdeMetni"/>
        <w:rPr>
          <w:color w:val="auto"/>
          <w:szCs w:val="24"/>
        </w:rPr>
      </w:pPr>
      <w:r w:rsidRPr="00043B50">
        <w:rPr>
          <w:color w:val="auto"/>
          <w:szCs w:val="24"/>
        </w:rPr>
        <w:t>Yakma tesisleri için yer seçimi izni “Atıkların Yakılmasına İlişkin Yönetmeliği”</w:t>
      </w:r>
      <w:proofErr w:type="gramStart"/>
      <w:r w:rsidRPr="00043B50">
        <w:rPr>
          <w:color w:val="auto"/>
          <w:szCs w:val="24"/>
        </w:rPr>
        <w:t>nin</w:t>
      </w:r>
      <w:proofErr w:type="gramEnd"/>
      <w:r w:rsidRPr="00043B50">
        <w:rPr>
          <w:color w:val="auto"/>
          <w:szCs w:val="24"/>
        </w:rPr>
        <w:t xml:space="preserve"> Madde 6’sında belirtildiği şekilde Mahalli Çevre Kurulu kararı ve Bakanlığın uygun görüşü ile mülki idare amirliğinden </w:t>
      </w:r>
      <w:r>
        <w:rPr>
          <w:color w:val="auto"/>
          <w:szCs w:val="24"/>
        </w:rPr>
        <w:t>alınmaktadır.</w:t>
      </w:r>
      <w:r w:rsidRPr="00043B50">
        <w:rPr>
          <w:color w:val="auto"/>
          <w:szCs w:val="24"/>
        </w:rPr>
        <w:t xml:space="preserve"> </w:t>
      </w:r>
      <w:proofErr w:type="gramStart"/>
      <w:r w:rsidRPr="00043B50">
        <w:rPr>
          <w:color w:val="auto"/>
          <w:szCs w:val="24"/>
        </w:rPr>
        <w:t>Lisanslar ise atıkların yakılmasına ilişkin yönetmeliğin Madde 7’sinde belirtildiği üzere Baka</w:t>
      </w:r>
      <w:r>
        <w:rPr>
          <w:color w:val="auto"/>
          <w:szCs w:val="24"/>
        </w:rPr>
        <w:t>nlıktan alınmaktadır.</w:t>
      </w:r>
      <w:proofErr w:type="gramEnd"/>
    </w:p>
    <w:p w:rsidR="00B67634" w:rsidRDefault="00B67634" w:rsidP="00A77E90">
      <w:pPr>
        <w:autoSpaceDE w:val="0"/>
        <w:autoSpaceDN w:val="0"/>
        <w:adjustRightInd w:val="0"/>
        <w:spacing w:after="0"/>
        <w:ind w:firstLine="708"/>
        <w:jc w:val="both"/>
        <w:rPr>
          <w:rFonts w:ascii="Times New Roman" w:hAnsi="Times New Roman" w:cs="Times New Roman"/>
          <w:noProof w:val="0"/>
          <w:sz w:val="24"/>
          <w:szCs w:val="24"/>
        </w:rPr>
      </w:pPr>
    </w:p>
    <w:p w:rsidR="004927A2" w:rsidRPr="00536FDF" w:rsidRDefault="001C6BDB" w:rsidP="004927A2">
      <w:pPr>
        <w:pStyle w:val="GvdeMetni"/>
        <w:rPr>
          <w:b/>
          <w:color w:val="auto"/>
          <w:sz w:val="28"/>
          <w:szCs w:val="28"/>
        </w:rPr>
      </w:pPr>
      <w:r>
        <w:rPr>
          <w:b/>
          <w:color w:val="auto"/>
          <w:sz w:val="28"/>
          <w:szCs w:val="28"/>
        </w:rPr>
        <w:t xml:space="preserve">12- </w:t>
      </w:r>
      <w:r w:rsidR="004927A2">
        <w:rPr>
          <w:b/>
          <w:color w:val="auto"/>
          <w:sz w:val="28"/>
          <w:szCs w:val="28"/>
        </w:rPr>
        <w:t xml:space="preserve">AB Büyük Yakma Tesisleri </w:t>
      </w:r>
      <w:r w:rsidR="004927A2" w:rsidRPr="00536FDF">
        <w:rPr>
          <w:b/>
          <w:color w:val="auto"/>
          <w:sz w:val="28"/>
          <w:szCs w:val="28"/>
        </w:rPr>
        <w:t>Uygulamaları</w:t>
      </w:r>
    </w:p>
    <w:p w:rsidR="004927A2" w:rsidRDefault="004927A2" w:rsidP="004927A2">
      <w:pPr>
        <w:rPr>
          <w:rFonts w:ascii="Times New Roman" w:hAnsi="Times New Roman"/>
          <w:sz w:val="24"/>
          <w:szCs w:val="24"/>
        </w:rPr>
      </w:pPr>
    </w:p>
    <w:p w:rsidR="004927A2" w:rsidRDefault="004927A2" w:rsidP="004927A2">
      <w:pPr>
        <w:rPr>
          <w:rFonts w:ascii="Times New Roman" w:hAnsi="Times New Roman"/>
          <w:sz w:val="24"/>
          <w:szCs w:val="24"/>
        </w:rPr>
      </w:pPr>
      <w:r>
        <w:rPr>
          <w:rFonts w:ascii="Times New Roman" w:hAnsi="Times New Roman"/>
          <w:sz w:val="24"/>
          <w:szCs w:val="24"/>
        </w:rPr>
        <w:t>Büyük Yakma Tesisleri Direktifi kullanılan yakıt türüne (katı, sıvı, gaz) bakılmaksızın, termal girdisi 50MW ve üzerinde olan yakma tesislerinden kaynaklanan toz (PM), SO</w:t>
      </w:r>
      <w:r w:rsidRPr="00363AAA">
        <w:rPr>
          <w:rFonts w:ascii="Times New Roman" w:hAnsi="Times New Roman"/>
          <w:sz w:val="24"/>
          <w:szCs w:val="24"/>
          <w:vertAlign w:val="subscript"/>
        </w:rPr>
        <w:t>2</w:t>
      </w:r>
      <w:r>
        <w:rPr>
          <w:rFonts w:ascii="Times New Roman" w:hAnsi="Times New Roman"/>
          <w:sz w:val="24"/>
          <w:szCs w:val="24"/>
        </w:rPr>
        <w:t xml:space="preserve"> , NOx emisyonlarına sınır değerler getiren düzenleme, insan sağlığına ve ekosisteme zarar verilmesini önlemeyi amaçlamaktadır.</w:t>
      </w:r>
    </w:p>
    <w:p w:rsidR="004927A2" w:rsidRDefault="004927A2" w:rsidP="004927A2">
      <w:pPr>
        <w:rPr>
          <w:rFonts w:ascii="Times New Roman" w:hAnsi="Times New Roman"/>
          <w:sz w:val="24"/>
          <w:szCs w:val="24"/>
        </w:rPr>
      </w:pPr>
      <w:r>
        <w:rPr>
          <w:rFonts w:ascii="Times New Roman" w:hAnsi="Times New Roman"/>
          <w:sz w:val="24"/>
          <w:szCs w:val="24"/>
        </w:rPr>
        <w:t>Bahse konu Direktif 2002 yılından önce izin almış ve Kasım 2003’ten önce faaliyete geçmiş olan yakma tesislerine ve 2002 yılı sonrasında izin almış tesislere uygulanacak farklı sınır değerler getirmektedir.Üye ülkeler “ulusal emisyon sınırı indirim planı” hazırlamak ve Avrupa Komisyonuna sunmakla yükümlüdür.</w:t>
      </w:r>
    </w:p>
    <w:p w:rsidR="004927A2" w:rsidRDefault="004927A2" w:rsidP="004927A2">
      <w:pPr>
        <w:rPr>
          <w:rFonts w:ascii="Times New Roman" w:hAnsi="Times New Roman"/>
          <w:sz w:val="24"/>
          <w:szCs w:val="24"/>
        </w:rPr>
      </w:pPr>
      <w:r>
        <w:rPr>
          <w:rFonts w:ascii="Times New Roman" w:hAnsi="Times New Roman"/>
          <w:sz w:val="24"/>
          <w:szCs w:val="24"/>
        </w:rPr>
        <w:t>Türkiye’de ilgili AB düzenlemesine uyum sağlamak amacıyla 08/06/2012  tarihinde “Büyük Yakma Tesisleri Yönetmeliği” yayımlanmıştır.Bahse konu yönetmelikle amaçlanan</w:t>
      </w:r>
      <w:r w:rsidRPr="00946BD4">
        <w:rPr>
          <w:sz w:val="20"/>
          <w:szCs w:val="20"/>
        </w:rPr>
        <w:t xml:space="preserve"> </w:t>
      </w:r>
      <w:r w:rsidRPr="00946BD4">
        <w:rPr>
          <w:rFonts w:ascii="Times New Roman" w:hAnsi="Times New Roman"/>
          <w:sz w:val="24"/>
          <w:szCs w:val="24"/>
        </w:rPr>
        <w:t xml:space="preserve">enerji üretim tesislerinin faaliyeti sonucu atmosfere yayılan is, duman, toz, gaz, buhar ve aerosol halindeki emisyonları kontrol altına almak; insanı ve çevresini hava alıcı ortamındaki </w:t>
      </w:r>
      <w:r w:rsidRPr="00946BD4">
        <w:rPr>
          <w:rFonts w:ascii="Times New Roman" w:hAnsi="Times New Roman"/>
          <w:sz w:val="24"/>
          <w:szCs w:val="24"/>
        </w:rPr>
        <w:lastRenderedPageBreak/>
        <w:t>kirlenmelerden doğacak tehlikelerden korumak; hava kirlenmeleri sebebiyle çevrede ortaya çıkan umuma ve komşuluk münasebetlerine önemli zararlar veren olumsuz etkileri gidermek ve bu etkilerin ortaya çıkmamasını sağlamak için gerekli usul ve esasları belirlemektir.</w:t>
      </w:r>
    </w:p>
    <w:p w:rsidR="00982E5E" w:rsidRDefault="00982E5E" w:rsidP="009E3CE5">
      <w:pPr>
        <w:pStyle w:val="GvdeMetni"/>
        <w:rPr>
          <w:b/>
          <w:color w:val="auto"/>
          <w:sz w:val="28"/>
          <w:szCs w:val="28"/>
        </w:rPr>
      </w:pPr>
    </w:p>
    <w:p w:rsidR="009E3CE5" w:rsidRPr="009E3CE5" w:rsidRDefault="001C6BDB" w:rsidP="009E3CE5">
      <w:pPr>
        <w:pStyle w:val="GvdeMetni"/>
        <w:rPr>
          <w:b/>
          <w:color w:val="auto"/>
          <w:sz w:val="28"/>
          <w:szCs w:val="28"/>
        </w:rPr>
      </w:pPr>
      <w:r>
        <w:rPr>
          <w:b/>
          <w:color w:val="auto"/>
          <w:sz w:val="28"/>
          <w:szCs w:val="28"/>
        </w:rPr>
        <w:t xml:space="preserve">13- </w:t>
      </w:r>
      <w:r w:rsidR="009E3CE5" w:rsidRPr="009E3CE5">
        <w:rPr>
          <w:b/>
          <w:color w:val="auto"/>
          <w:sz w:val="28"/>
          <w:szCs w:val="28"/>
        </w:rPr>
        <w:t>Endüstriyel Emisyonlar Direktifi</w:t>
      </w:r>
    </w:p>
    <w:p w:rsidR="009E3CE5" w:rsidRPr="009E3CE5" w:rsidRDefault="009E3CE5" w:rsidP="009E3CE5">
      <w:pPr>
        <w:autoSpaceDE w:val="0"/>
        <w:autoSpaceDN w:val="0"/>
        <w:adjustRightInd w:val="0"/>
        <w:spacing w:after="0"/>
        <w:ind w:firstLine="708"/>
        <w:jc w:val="both"/>
        <w:rPr>
          <w:rFonts w:ascii="Times New Roman" w:hAnsi="Times New Roman" w:cs="Times New Roman"/>
          <w:noProof w:val="0"/>
          <w:sz w:val="24"/>
          <w:szCs w:val="24"/>
        </w:rPr>
      </w:pPr>
    </w:p>
    <w:p w:rsidR="009E3CE5" w:rsidRPr="009E3CE5" w:rsidRDefault="009E3CE5" w:rsidP="00106DEB">
      <w:pPr>
        <w:rPr>
          <w:rFonts w:ascii="Times New Roman" w:hAnsi="Times New Roman" w:cs="Times New Roman"/>
          <w:noProof w:val="0"/>
          <w:sz w:val="24"/>
          <w:szCs w:val="24"/>
        </w:rPr>
      </w:pPr>
      <w:r w:rsidRPr="009E3CE5">
        <w:rPr>
          <w:rFonts w:ascii="Times New Roman" w:hAnsi="Times New Roman" w:cs="Times New Roman"/>
          <w:noProof w:val="0"/>
          <w:sz w:val="24"/>
          <w:szCs w:val="24"/>
        </w:rPr>
        <w:t>Endüstriyel Emisyonlar Direktifi (</w:t>
      </w:r>
      <w:proofErr w:type="spellStart"/>
      <w:r w:rsidRPr="009E3CE5">
        <w:rPr>
          <w:rFonts w:ascii="Times New Roman" w:hAnsi="Times New Roman" w:cs="Times New Roman"/>
          <w:noProof w:val="0"/>
          <w:sz w:val="24"/>
          <w:szCs w:val="24"/>
        </w:rPr>
        <w:t>Industrial</w:t>
      </w:r>
      <w:proofErr w:type="spellEnd"/>
      <w:r w:rsidRPr="009E3CE5">
        <w:rPr>
          <w:rFonts w:ascii="Times New Roman" w:hAnsi="Times New Roman" w:cs="Times New Roman"/>
          <w:noProof w:val="0"/>
          <w:sz w:val="24"/>
          <w:szCs w:val="24"/>
        </w:rPr>
        <w:t xml:space="preserve"> </w:t>
      </w:r>
      <w:proofErr w:type="spellStart"/>
      <w:r w:rsidRPr="009E3CE5">
        <w:rPr>
          <w:rFonts w:ascii="Times New Roman" w:hAnsi="Times New Roman" w:cs="Times New Roman"/>
          <w:noProof w:val="0"/>
          <w:sz w:val="24"/>
          <w:szCs w:val="24"/>
        </w:rPr>
        <w:t>Emissions</w:t>
      </w:r>
      <w:proofErr w:type="spellEnd"/>
      <w:r w:rsidRPr="009E3CE5">
        <w:rPr>
          <w:rFonts w:ascii="Times New Roman" w:hAnsi="Times New Roman" w:cs="Times New Roman"/>
          <w:noProof w:val="0"/>
          <w:sz w:val="24"/>
          <w:szCs w:val="24"/>
        </w:rPr>
        <w:t xml:space="preserve"> </w:t>
      </w:r>
      <w:proofErr w:type="spellStart"/>
      <w:r w:rsidRPr="009E3CE5">
        <w:rPr>
          <w:rFonts w:ascii="Times New Roman" w:hAnsi="Times New Roman" w:cs="Times New Roman"/>
          <w:noProof w:val="0"/>
          <w:sz w:val="24"/>
          <w:szCs w:val="24"/>
        </w:rPr>
        <w:t>Directive</w:t>
      </w:r>
      <w:proofErr w:type="spellEnd"/>
      <w:r w:rsidRPr="009E3CE5">
        <w:rPr>
          <w:rFonts w:ascii="Times New Roman" w:hAnsi="Times New Roman" w:cs="Times New Roman"/>
          <w:noProof w:val="0"/>
          <w:sz w:val="24"/>
          <w:szCs w:val="24"/>
        </w:rPr>
        <w:t>)2010/75/EU (Entegre Kirlilik Önleme</w:t>
      </w:r>
      <w:r>
        <w:rPr>
          <w:rFonts w:ascii="Times New Roman" w:hAnsi="Times New Roman" w:cs="Times New Roman"/>
          <w:noProof w:val="0"/>
          <w:sz w:val="24"/>
          <w:szCs w:val="24"/>
        </w:rPr>
        <w:t xml:space="preserve"> </w:t>
      </w:r>
      <w:r w:rsidRPr="009E3CE5">
        <w:rPr>
          <w:rFonts w:ascii="Times New Roman" w:hAnsi="Times New Roman" w:cs="Times New Roman"/>
          <w:noProof w:val="0"/>
          <w:sz w:val="24"/>
          <w:szCs w:val="24"/>
        </w:rPr>
        <w:t xml:space="preserve">ve Kontrol Direktifi- </w:t>
      </w:r>
      <w:proofErr w:type="spellStart"/>
      <w:r w:rsidRPr="009E3CE5">
        <w:rPr>
          <w:rFonts w:ascii="Times New Roman" w:hAnsi="Times New Roman" w:cs="Times New Roman"/>
          <w:noProof w:val="0"/>
          <w:sz w:val="24"/>
          <w:szCs w:val="24"/>
        </w:rPr>
        <w:t>Integrated</w:t>
      </w:r>
      <w:proofErr w:type="spellEnd"/>
      <w:r w:rsidRPr="009E3CE5">
        <w:rPr>
          <w:rFonts w:ascii="Times New Roman" w:hAnsi="Times New Roman" w:cs="Times New Roman"/>
          <w:noProof w:val="0"/>
          <w:sz w:val="24"/>
          <w:szCs w:val="24"/>
        </w:rPr>
        <w:t xml:space="preserve"> </w:t>
      </w:r>
      <w:proofErr w:type="spellStart"/>
      <w:r w:rsidRPr="009E3CE5">
        <w:rPr>
          <w:rFonts w:ascii="Times New Roman" w:hAnsi="Times New Roman" w:cs="Times New Roman"/>
          <w:noProof w:val="0"/>
          <w:sz w:val="24"/>
          <w:szCs w:val="24"/>
        </w:rPr>
        <w:t>Pollution</w:t>
      </w:r>
      <w:proofErr w:type="spellEnd"/>
      <w:r w:rsidRPr="009E3CE5">
        <w:rPr>
          <w:rFonts w:ascii="Times New Roman" w:hAnsi="Times New Roman" w:cs="Times New Roman"/>
          <w:noProof w:val="0"/>
          <w:sz w:val="24"/>
          <w:szCs w:val="24"/>
        </w:rPr>
        <w:t xml:space="preserve"> </w:t>
      </w:r>
      <w:proofErr w:type="spellStart"/>
      <w:r w:rsidRPr="009E3CE5">
        <w:rPr>
          <w:rFonts w:ascii="Times New Roman" w:hAnsi="Times New Roman" w:cs="Times New Roman"/>
          <w:noProof w:val="0"/>
          <w:sz w:val="24"/>
          <w:szCs w:val="24"/>
        </w:rPr>
        <w:t>Prevention</w:t>
      </w:r>
      <w:proofErr w:type="spellEnd"/>
      <w:r w:rsidRPr="009E3CE5">
        <w:rPr>
          <w:rFonts w:ascii="Times New Roman" w:hAnsi="Times New Roman" w:cs="Times New Roman"/>
          <w:noProof w:val="0"/>
          <w:sz w:val="24"/>
          <w:szCs w:val="24"/>
        </w:rPr>
        <w:t xml:space="preserve"> </w:t>
      </w:r>
      <w:proofErr w:type="spellStart"/>
      <w:r w:rsidRPr="009E3CE5">
        <w:rPr>
          <w:rFonts w:ascii="Times New Roman" w:hAnsi="Times New Roman" w:cs="Times New Roman"/>
          <w:noProof w:val="0"/>
          <w:sz w:val="24"/>
          <w:szCs w:val="24"/>
        </w:rPr>
        <w:t>and</w:t>
      </w:r>
      <w:proofErr w:type="spellEnd"/>
      <w:r w:rsidRPr="009E3CE5">
        <w:rPr>
          <w:rFonts w:ascii="Times New Roman" w:hAnsi="Times New Roman" w:cs="Times New Roman"/>
          <w:noProof w:val="0"/>
          <w:sz w:val="24"/>
          <w:szCs w:val="24"/>
        </w:rPr>
        <w:t xml:space="preserve"> </w:t>
      </w:r>
      <w:proofErr w:type="spellStart"/>
      <w:r w:rsidRPr="009E3CE5">
        <w:rPr>
          <w:rFonts w:ascii="Times New Roman" w:hAnsi="Times New Roman" w:cs="Times New Roman"/>
          <w:noProof w:val="0"/>
          <w:sz w:val="24"/>
          <w:szCs w:val="24"/>
        </w:rPr>
        <w:t>Control</w:t>
      </w:r>
      <w:proofErr w:type="spellEnd"/>
      <w:r w:rsidRPr="009E3CE5">
        <w:rPr>
          <w:rFonts w:ascii="Times New Roman" w:hAnsi="Times New Roman" w:cs="Times New Roman"/>
          <w:noProof w:val="0"/>
          <w:sz w:val="24"/>
          <w:szCs w:val="24"/>
        </w:rPr>
        <w:t xml:space="preserve"> </w:t>
      </w:r>
      <w:proofErr w:type="spellStart"/>
      <w:r w:rsidRPr="009E3CE5">
        <w:rPr>
          <w:rFonts w:ascii="Times New Roman" w:hAnsi="Times New Roman" w:cs="Times New Roman"/>
          <w:noProof w:val="0"/>
          <w:sz w:val="24"/>
          <w:szCs w:val="24"/>
        </w:rPr>
        <w:t>Directive</w:t>
      </w:r>
      <w:proofErr w:type="spellEnd"/>
      <w:r w:rsidRPr="009E3CE5">
        <w:rPr>
          <w:rFonts w:ascii="Times New Roman" w:hAnsi="Times New Roman" w:cs="Times New Roman"/>
          <w:noProof w:val="0"/>
          <w:sz w:val="24"/>
          <w:szCs w:val="24"/>
        </w:rPr>
        <w:t>) (</w:t>
      </w:r>
      <w:proofErr w:type="spellStart"/>
      <w:r w:rsidRPr="009E3CE5">
        <w:rPr>
          <w:rFonts w:ascii="Times New Roman" w:hAnsi="Times New Roman" w:cs="Times New Roman"/>
          <w:noProof w:val="0"/>
          <w:sz w:val="24"/>
          <w:szCs w:val="24"/>
        </w:rPr>
        <w:t>Recast</w:t>
      </w:r>
      <w:proofErr w:type="spellEnd"/>
      <w:r w:rsidRPr="009E3CE5">
        <w:rPr>
          <w:rFonts w:ascii="Times New Roman" w:hAnsi="Times New Roman" w:cs="Times New Roman"/>
          <w:noProof w:val="0"/>
          <w:sz w:val="24"/>
          <w:szCs w:val="24"/>
        </w:rPr>
        <w:t>) 24 Kasım 2010</w:t>
      </w:r>
      <w:r>
        <w:rPr>
          <w:rFonts w:ascii="Times New Roman" w:hAnsi="Times New Roman" w:cs="Times New Roman"/>
          <w:noProof w:val="0"/>
          <w:sz w:val="24"/>
          <w:szCs w:val="24"/>
        </w:rPr>
        <w:t xml:space="preserve"> </w:t>
      </w:r>
      <w:r w:rsidRPr="009E3CE5">
        <w:rPr>
          <w:rFonts w:ascii="Times New Roman" w:hAnsi="Times New Roman" w:cs="Times New Roman"/>
          <w:noProof w:val="0"/>
          <w:sz w:val="24"/>
          <w:szCs w:val="24"/>
        </w:rPr>
        <w:t>tarihinde Avrupa Birliği Komisyonu tarafından yayınlanmıştır.</w:t>
      </w:r>
    </w:p>
    <w:p w:rsidR="009E3CE5" w:rsidRPr="009E3CE5" w:rsidRDefault="009E3CE5" w:rsidP="009E3CE5">
      <w:pPr>
        <w:autoSpaceDE w:val="0"/>
        <w:autoSpaceDN w:val="0"/>
        <w:adjustRightInd w:val="0"/>
        <w:spacing w:after="0"/>
        <w:ind w:firstLine="708"/>
        <w:jc w:val="both"/>
        <w:rPr>
          <w:rFonts w:ascii="Times New Roman" w:hAnsi="Times New Roman" w:cs="Times New Roman"/>
          <w:noProof w:val="0"/>
          <w:sz w:val="24"/>
          <w:szCs w:val="24"/>
        </w:rPr>
      </w:pPr>
    </w:p>
    <w:p w:rsidR="009E3CE5" w:rsidRPr="009E3CE5" w:rsidRDefault="009E3CE5" w:rsidP="00106DEB">
      <w:pPr>
        <w:rPr>
          <w:rFonts w:ascii="Times New Roman" w:hAnsi="Times New Roman" w:cs="Times New Roman"/>
          <w:noProof w:val="0"/>
          <w:sz w:val="24"/>
          <w:szCs w:val="24"/>
        </w:rPr>
      </w:pPr>
      <w:r w:rsidRPr="009E3CE5">
        <w:rPr>
          <w:rFonts w:ascii="Times New Roman" w:hAnsi="Times New Roman" w:cs="Times New Roman"/>
          <w:noProof w:val="0"/>
          <w:sz w:val="24"/>
          <w:szCs w:val="24"/>
        </w:rPr>
        <w:t xml:space="preserve">Endüstriyel Emisyonlar Direktifi </w:t>
      </w:r>
      <w:proofErr w:type="gramStart"/>
      <w:r w:rsidRPr="009E3CE5">
        <w:rPr>
          <w:rFonts w:ascii="Times New Roman" w:hAnsi="Times New Roman" w:cs="Times New Roman"/>
          <w:noProof w:val="0"/>
          <w:sz w:val="24"/>
          <w:szCs w:val="24"/>
        </w:rPr>
        <w:t>ile;</w:t>
      </w:r>
      <w:proofErr w:type="gramEnd"/>
    </w:p>
    <w:p w:rsidR="00D44220" w:rsidRPr="009E3CE5" w:rsidRDefault="00982E5E" w:rsidP="009E3CE5">
      <w:pPr>
        <w:numPr>
          <w:ilvl w:val="0"/>
          <w:numId w:val="5"/>
        </w:numPr>
        <w:autoSpaceDE w:val="0"/>
        <w:autoSpaceDN w:val="0"/>
        <w:adjustRightInd w:val="0"/>
        <w:spacing w:after="0"/>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 xml:space="preserve">IPPC - Entegre Kirlilik Önleme ve Kontrol Direktifi (2008/01/EC) ile 6 </w:t>
      </w:r>
      <w:proofErr w:type="spellStart"/>
      <w:r w:rsidRPr="009E3CE5">
        <w:rPr>
          <w:rFonts w:ascii="Times New Roman" w:hAnsi="Times New Roman" w:cs="Times New Roman"/>
          <w:noProof w:val="0"/>
          <w:sz w:val="24"/>
          <w:szCs w:val="24"/>
        </w:rPr>
        <w:t>sektörel</w:t>
      </w:r>
      <w:proofErr w:type="spellEnd"/>
      <w:r w:rsidRPr="009E3CE5">
        <w:rPr>
          <w:rFonts w:ascii="Times New Roman" w:hAnsi="Times New Roman" w:cs="Times New Roman"/>
          <w:noProof w:val="0"/>
          <w:sz w:val="24"/>
          <w:szCs w:val="24"/>
        </w:rPr>
        <w:t xml:space="preserve"> Direktif</w:t>
      </w:r>
    </w:p>
    <w:p w:rsidR="00D44220" w:rsidRPr="009E3CE5" w:rsidRDefault="00982E5E" w:rsidP="009E3CE5">
      <w:pPr>
        <w:numPr>
          <w:ilvl w:val="0"/>
          <w:numId w:val="5"/>
        </w:numPr>
        <w:autoSpaceDE w:val="0"/>
        <w:autoSpaceDN w:val="0"/>
        <w:adjustRightInd w:val="0"/>
        <w:spacing w:after="0"/>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Büyük Yakma Tesisleri Direktifi (2001/80/EC) (LCP)</w:t>
      </w:r>
    </w:p>
    <w:p w:rsidR="00D44220" w:rsidRPr="009E3CE5" w:rsidRDefault="00982E5E" w:rsidP="009E3CE5">
      <w:pPr>
        <w:numPr>
          <w:ilvl w:val="0"/>
          <w:numId w:val="5"/>
        </w:numPr>
        <w:autoSpaceDE w:val="0"/>
        <w:autoSpaceDN w:val="0"/>
        <w:adjustRightInd w:val="0"/>
        <w:spacing w:after="0"/>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Atık Yakma Direktifi (2000/76/EC)(WID)</w:t>
      </w:r>
    </w:p>
    <w:p w:rsidR="00D44220" w:rsidRPr="009E3CE5" w:rsidRDefault="00982E5E" w:rsidP="009E3CE5">
      <w:pPr>
        <w:numPr>
          <w:ilvl w:val="0"/>
          <w:numId w:val="5"/>
        </w:numPr>
        <w:autoSpaceDE w:val="0"/>
        <w:autoSpaceDN w:val="0"/>
        <w:adjustRightInd w:val="0"/>
        <w:spacing w:after="0"/>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 xml:space="preserve">VOC </w:t>
      </w:r>
      <w:r w:rsidR="009E3CE5" w:rsidRPr="009E3CE5">
        <w:rPr>
          <w:rFonts w:ascii="Times New Roman" w:hAnsi="Times New Roman" w:cs="Times New Roman"/>
          <w:noProof w:val="0"/>
          <w:sz w:val="24"/>
          <w:szCs w:val="24"/>
        </w:rPr>
        <w:t>Çözücü</w:t>
      </w:r>
      <w:r w:rsidRPr="009E3CE5">
        <w:rPr>
          <w:rFonts w:ascii="Times New Roman" w:hAnsi="Times New Roman" w:cs="Times New Roman"/>
          <w:noProof w:val="0"/>
          <w:sz w:val="24"/>
          <w:szCs w:val="24"/>
        </w:rPr>
        <w:t xml:space="preserve"> Emisyonları Direktifi (1999/13/EC)(SED)</w:t>
      </w:r>
    </w:p>
    <w:p w:rsidR="009E3CE5" w:rsidRPr="009E3CE5" w:rsidRDefault="00982E5E" w:rsidP="009E3CE5">
      <w:pPr>
        <w:numPr>
          <w:ilvl w:val="0"/>
          <w:numId w:val="5"/>
        </w:numPr>
        <w:autoSpaceDE w:val="0"/>
        <w:autoSpaceDN w:val="0"/>
        <w:adjustRightInd w:val="0"/>
        <w:spacing w:after="0"/>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 xml:space="preserve">3 TiO2 Direktifi (78/176, 82/883, 92/112) (atık, deşarj ve hava </w:t>
      </w:r>
      <w:proofErr w:type="gramStart"/>
      <w:r w:rsidRPr="009E3CE5">
        <w:rPr>
          <w:rFonts w:ascii="Times New Roman" w:hAnsi="Times New Roman" w:cs="Times New Roman"/>
          <w:noProof w:val="0"/>
          <w:sz w:val="24"/>
          <w:szCs w:val="24"/>
        </w:rPr>
        <w:t>emisyonları</w:t>
      </w:r>
      <w:proofErr w:type="gramEnd"/>
      <w:r w:rsidRPr="009E3CE5">
        <w:rPr>
          <w:rFonts w:ascii="Times New Roman" w:hAnsi="Times New Roman" w:cs="Times New Roman"/>
          <w:noProof w:val="0"/>
          <w:sz w:val="24"/>
          <w:szCs w:val="24"/>
        </w:rPr>
        <w:t>) yeniden</w:t>
      </w:r>
      <w:r w:rsidR="009E3CE5" w:rsidRPr="009E3CE5">
        <w:rPr>
          <w:rFonts w:ascii="Times New Roman" w:hAnsi="Times New Roman" w:cs="Times New Roman"/>
          <w:noProof w:val="0"/>
          <w:sz w:val="24"/>
          <w:szCs w:val="24"/>
        </w:rPr>
        <w:t xml:space="preserve"> şekillendirilerek tek direktif haline getirilmiştir.</w:t>
      </w:r>
    </w:p>
    <w:p w:rsidR="009E3CE5" w:rsidRPr="009E3CE5" w:rsidRDefault="009E3CE5" w:rsidP="009E3CE5">
      <w:pPr>
        <w:autoSpaceDE w:val="0"/>
        <w:autoSpaceDN w:val="0"/>
        <w:adjustRightInd w:val="0"/>
        <w:spacing w:after="0"/>
        <w:ind w:firstLine="708"/>
        <w:jc w:val="both"/>
        <w:rPr>
          <w:rFonts w:ascii="Times New Roman" w:hAnsi="Times New Roman" w:cs="Times New Roman"/>
          <w:noProof w:val="0"/>
          <w:sz w:val="24"/>
          <w:szCs w:val="24"/>
        </w:rPr>
      </w:pPr>
    </w:p>
    <w:p w:rsidR="009E3CE5" w:rsidRPr="009E3CE5" w:rsidRDefault="009E3CE5" w:rsidP="00106DEB">
      <w:pPr>
        <w:rPr>
          <w:rFonts w:ascii="Times New Roman" w:hAnsi="Times New Roman" w:cs="Times New Roman"/>
          <w:noProof w:val="0"/>
          <w:sz w:val="24"/>
          <w:szCs w:val="24"/>
        </w:rPr>
      </w:pPr>
      <w:r w:rsidRPr="009E3CE5">
        <w:rPr>
          <w:rFonts w:ascii="Times New Roman" w:hAnsi="Times New Roman" w:cs="Times New Roman"/>
          <w:noProof w:val="0"/>
          <w:sz w:val="24"/>
          <w:szCs w:val="24"/>
        </w:rPr>
        <w:t>Endüstriyel Emisyonlar Direktifi ile getirilen yenilikler:</w:t>
      </w:r>
    </w:p>
    <w:p w:rsidR="00D44220" w:rsidRPr="009E3CE5" w:rsidRDefault="00982E5E" w:rsidP="009E3CE5">
      <w:pPr>
        <w:numPr>
          <w:ilvl w:val="0"/>
          <w:numId w:val="10"/>
        </w:numPr>
        <w:autoSpaceDE w:val="0"/>
        <w:autoSpaceDN w:val="0"/>
        <w:adjustRightInd w:val="0"/>
        <w:spacing w:after="0"/>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 xml:space="preserve">IPPC gereklilikleri ile </w:t>
      </w:r>
      <w:proofErr w:type="spellStart"/>
      <w:r w:rsidRPr="009E3CE5">
        <w:rPr>
          <w:rFonts w:ascii="Times New Roman" w:hAnsi="Times New Roman" w:cs="Times New Roman"/>
          <w:noProof w:val="0"/>
          <w:sz w:val="24"/>
          <w:szCs w:val="24"/>
        </w:rPr>
        <w:t>sektörel</w:t>
      </w:r>
      <w:proofErr w:type="spellEnd"/>
      <w:r w:rsidRPr="009E3CE5">
        <w:rPr>
          <w:rFonts w:ascii="Times New Roman" w:hAnsi="Times New Roman" w:cs="Times New Roman"/>
          <w:noProof w:val="0"/>
          <w:sz w:val="24"/>
          <w:szCs w:val="24"/>
        </w:rPr>
        <w:t xml:space="preserve"> gereklilikler arasında örtüşen maddeler açıklığa kavuşturulmuş;</w:t>
      </w:r>
      <w:r w:rsidR="009E3CE5" w:rsidRPr="009E3CE5">
        <w:rPr>
          <w:rFonts w:ascii="Times New Roman" w:hAnsi="Times New Roman" w:cs="Times New Roman"/>
          <w:noProof w:val="0"/>
          <w:sz w:val="24"/>
          <w:szCs w:val="24"/>
        </w:rPr>
        <w:t xml:space="preserve"> </w:t>
      </w:r>
      <w:r w:rsidRPr="009E3CE5">
        <w:rPr>
          <w:rFonts w:ascii="Times New Roman" w:hAnsi="Times New Roman" w:cs="Times New Roman"/>
          <w:noProof w:val="0"/>
          <w:sz w:val="24"/>
          <w:szCs w:val="24"/>
        </w:rPr>
        <w:t>mevcut mevzuatta yer alan tutarsızlıklar giderilmiş ve oluşturulan yasal çerçeve ile kurumsal</w:t>
      </w:r>
      <w:r w:rsidR="009E3CE5" w:rsidRPr="009E3CE5">
        <w:rPr>
          <w:rFonts w:ascii="Times New Roman" w:hAnsi="Times New Roman" w:cs="Times New Roman"/>
          <w:noProof w:val="0"/>
          <w:sz w:val="24"/>
          <w:szCs w:val="24"/>
        </w:rPr>
        <w:t xml:space="preserve"> </w:t>
      </w:r>
      <w:r w:rsidRPr="009E3CE5">
        <w:rPr>
          <w:rFonts w:ascii="Times New Roman" w:hAnsi="Times New Roman" w:cs="Times New Roman"/>
          <w:noProof w:val="0"/>
          <w:sz w:val="24"/>
          <w:szCs w:val="24"/>
        </w:rPr>
        <w:t>iş yükü azaltılmıştır.</w:t>
      </w:r>
    </w:p>
    <w:p w:rsidR="00D44220" w:rsidRPr="009E3CE5" w:rsidRDefault="00982E5E" w:rsidP="009E3CE5">
      <w:pPr>
        <w:numPr>
          <w:ilvl w:val="0"/>
          <w:numId w:val="10"/>
        </w:numPr>
        <w:autoSpaceDE w:val="0"/>
        <w:autoSpaceDN w:val="0"/>
        <w:adjustRightInd w:val="0"/>
        <w:spacing w:after="0"/>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 xml:space="preserve">Büyük yakma tesisleri için mevcut en iyi teknikler bazında yeni minimum </w:t>
      </w:r>
      <w:proofErr w:type="gramStart"/>
      <w:r w:rsidRPr="009E3CE5">
        <w:rPr>
          <w:rFonts w:ascii="Times New Roman" w:hAnsi="Times New Roman" w:cs="Times New Roman"/>
          <w:noProof w:val="0"/>
          <w:sz w:val="24"/>
          <w:szCs w:val="24"/>
        </w:rPr>
        <w:t>emisyon</w:t>
      </w:r>
      <w:proofErr w:type="gramEnd"/>
      <w:r w:rsidRPr="009E3CE5">
        <w:rPr>
          <w:rFonts w:ascii="Times New Roman" w:hAnsi="Times New Roman" w:cs="Times New Roman"/>
          <w:noProof w:val="0"/>
          <w:sz w:val="24"/>
          <w:szCs w:val="24"/>
        </w:rPr>
        <w:t xml:space="preserve"> limit</w:t>
      </w:r>
      <w:r w:rsidR="009E3CE5" w:rsidRPr="009E3CE5">
        <w:rPr>
          <w:rFonts w:ascii="Times New Roman" w:hAnsi="Times New Roman" w:cs="Times New Roman"/>
          <w:noProof w:val="0"/>
          <w:sz w:val="24"/>
          <w:szCs w:val="24"/>
        </w:rPr>
        <w:t xml:space="preserve"> </w:t>
      </w:r>
      <w:r w:rsidRPr="009E3CE5">
        <w:rPr>
          <w:rFonts w:ascii="Times New Roman" w:hAnsi="Times New Roman" w:cs="Times New Roman"/>
          <w:noProof w:val="0"/>
          <w:sz w:val="24"/>
          <w:szCs w:val="24"/>
        </w:rPr>
        <w:t>değerleri getirilmiştir.</w:t>
      </w:r>
    </w:p>
    <w:p w:rsidR="00D44220" w:rsidRPr="009E3CE5" w:rsidRDefault="00982E5E" w:rsidP="009E3CE5">
      <w:pPr>
        <w:numPr>
          <w:ilvl w:val="0"/>
          <w:numId w:val="10"/>
        </w:numPr>
        <w:autoSpaceDE w:val="0"/>
        <w:autoSpaceDN w:val="0"/>
        <w:adjustRightInd w:val="0"/>
        <w:spacing w:after="0"/>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Mevcut en iyi teknikler bazında izin gereklilikleri ve referans dokümanların rolü geliştirilmiştir.</w:t>
      </w:r>
    </w:p>
    <w:p w:rsidR="00D44220" w:rsidRPr="009E3CE5" w:rsidRDefault="00982E5E" w:rsidP="009E3CE5">
      <w:pPr>
        <w:numPr>
          <w:ilvl w:val="0"/>
          <w:numId w:val="10"/>
        </w:numPr>
        <w:autoSpaceDE w:val="0"/>
        <w:autoSpaceDN w:val="0"/>
        <w:adjustRightInd w:val="0"/>
        <w:spacing w:after="0"/>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İzin gözden geçirme gereklilikleri güçlendirilmiştir.</w:t>
      </w:r>
    </w:p>
    <w:p w:rsidR="00D44220" w:rsidRPr="009E3CE5" w:rsidRDefault="00982E5E" w:rsidP="009E3CE5">
      <w:pPr>
        <w:numPr>
          <w:ilvl w:val="0"/>
          <w:numId w:val="10"/>
        </w:numPr>
        <w:autoSpaceDE w:val="0"/>
        <w:autoSpaceDN w:val="0"/>
        <w:adjustRightInd w:val="0"/>
        <w:spacing w:after="0"/>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Denetim maddeleri güçlendirilmiştir.</w:t>
      </w:r>
    </w:p>
    <w:p w:rsidR="00D44220" w:rsidRPr="009E3CE5" w:rsidRDefault="00982E5E" w:rsidP="009E3CE5">
      <w:pPr>
        <w:numPr>
          <w:ilvl w:val="0"/>
          <w:numId w:val="10"/>
        </w:numPr>
        <w:autoSpaceDE w:val="0"/>
        <w:autoSpaceDN w:val="0"/>
        <w:adjustRightInd w:val="0"/>
        <w:spacing w:after="0"/>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Raporlama uyumluluğu gereklilikleri güçlendirilmiştir.</w:t>
      </w:r>
    </w:p>
    <w:p w:rsidR="00D44220" w:rsidRPr="009E3CE5" w:rsidRDefault="00982E5E" w:rsidP="009E3CE5">
      <w:pPr>
        <w:numPr>
          <w:ilvl w:val="0"/>
          <w:numId w:val="10"/>
        </w:numPr>
        <w:autoSpaceDE w:val="0"/>
        <w:autoSpaceDN w:val="0"/>
        <w:adjustRightInd w:val="0"/>
        <w:spacing w:after="0"/>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Yeni faaliyetler eklenerek kapsam geliştirilmiştir.</w:t>
      </w:r>
    </w:p>
    <w:p w:rsidR="009E3CE5" w:rsidRPr="009E3CE5" w:rsidRDefault="009E3CE5" w:rsidP="009E3CE5">
      <w:pPr>
        <w:autoSpaceDE w:val="0"/>
        <w:autoSpaceDN w:val="0"/>
        <w:adjustRightInd w:val="0"/>
        <w:spacing w:after="0"/>
        <w:ind w:firstLine="708"/>
        <w:jc w:val="both"/>
        <w:rPr>
          <w:rFonts w:ascii="Times New Roman" w:hAnsi="Times New Roman" w:cs="Times New Roman"/>
          <w:noProof w:val="0"/>
          <w:sz w:val="24"/>
          <w:szCs w:val="24"/>
        </w:rPr>
      </w:pPr>
    </w:p>
    <w:p w:rsidR="009E3CE5" w:rsidRPr="009E3CE5" w:rsidRDefault="009E3CE5" w:rsidP="00106DEB">
      <w:pPr>
        <w:rPr>
          <w:rFonts w:ascii="Times New Roman" w:hAnsi="Times New Roman" w:cs="Times New Roman"/>
          <w:noProof w:val="0"/>
          <w:sz w:val="24"/>
          <w:szCs w:val="24"/>
        </w:rPr>
      </w:pPr>
      <w:r w:rsidRPr="009E3CE5">
        <w:rPr>
          <w:rFonts w:ascii="Times New Roman" w:hAnsi="Times New Roman" w:cs="Times New Roman"/>
          <w:noProof w:val="0"/>
          <w:sz w:val="24"/>
          <w:szCs w:val="24"/>
        </w:rPr>
        <w:t xml:space="preserve">Bu kapsamda; Endüstriyel Emisyonlar Direktifi </w:t>
      </w:r>
      <w:proofErr w:type="gramStart"/>
      <w:r w:rsidRPr="009E3CE5">
        <w:rPr>
          <w:rFonts w:ascii="Times New Roman" w:hAnsi="Times New Roman" w:cs="Times New Roman"/>
          <w:noProof w:val="0"/>
          <w:sz w:val="24"/>
          <w:szCs w:val="24"/>
        </w:rPr>
        <w:t>ile;</w:t>
      </w:r>
      <w:proofErr w:type="gramEnd"/>
    </w:p>
    <w:p w:rsidR="00D44220" w:rsidRPr="009E3CE5" w:rsidRDefault="00982E5E" w:rsidP="009E3CE5">
      <w:pPr>
        <w:numPr>
          <w:ilvl w:val="0"/>
          <w:numId w:val="9"/>
        </w:numPr>
        <w:autoSpaceDE w:val="0"/>
        <w:autoSpaceDN w:val="0"/>
        <w:adjustRightInd w:val="0"/>
        <w:spacing w:after="0"/>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Mevcut en iyi teknikler (BAT) ve referans dokümanlarının (</w:t>
      </w:r>
      <w:proofErr w:type="spellStart"/>
      <w:r w:rsidRPr="009E3CE5">
        <w:rPr>
          <w:rFonts w:ascii="Times New Roman" w:hAnsi="Times New Roman" w:cs="Times New Roman"/>
          <w:noProof w:val="0"/>
          <w:sz w:val="24"/>
          <w:szCs w:val="24"/>
        </w:rPr>
        <w:t>BREFs</w:t>
      </w:r>
      <w:proofErr w:type="spellEnd"/>
      <w:r w:rsidRPr="009E3CE5">
        <w:rPr>
          <w:rFonts w:ascii="Times New Roman" w:hAnsi="Times New Roman" w:cs="Times New Roman"/>
          <w:noProof w:val="0"/>
          <w:sz w:val="24"/>
          <w:szCs w:val="24"/>
        </w:rPr>
        <w:t>)rolü güçlendirilmiştir. İzin</w:t>
      </w:r>
      <w:r w:rsidR="009E3CE5" w:rsidRPr="009E3CE5">
        <w:rPr>
          <w:rFonts w:ascii="Times New Roman" w:hAnsi="Times New Roman" w:cs="Times New Roman"/>
          <w:noProof w:val="0"/>
          <w:sz w:val="24"/>
          <w:szCs w:val="24"/>
        </w:rPr>
        <w:t xml:space="preserve"> </w:t>
      </w:r>
      <w:r w:rsidRPr="009E3CE5">
        <w:rPr>
          <w:rFonts w:ascii="Times New Roman" w:hAnsi="Times New Roman" w:cs="Times New Roman"/>
          <w:noProof w:val="0"/>
          <w:sz w:val="24"/>
          <w:szCs w:val="24"/>
        </w:rPr>
        <w:t xml:space="preserve">koşullarında BAT temelli </w:t>
      </w:r>
      <w:proofErr w:type="gramStart"/>
      <w:r w:rsidRPr="009E3CE5">
        <w:rPr>
          <w:rFonts w:ascii="Times New Roman" w:hAnsi="Times New Roman" w:cs="Times New Roman"/>
          <w:noProof w:val="0"/>
          <w:sz w:val="24"/>
          <w:szCs w:val="24"/>
        </w:rPr>
        <w:t>emisyon</w:t>
      </w:r>
      <w:proofErr w:type="gramEnd"/>
      <w:r w:rsidRPr="009E3CE5">
        <w:rPr>
          <w:rFonts w:ascii="Times New Roman" w:hAnsi="Times New Roman" w:cs="Times New Roman"/>
          <w:noProof w:val="0"/>
          <w:sz w:val="24"/>
          <w:szCs w:val="24"/>
        </w:rPr>
        <w:t xml:space="preserve"> limit değerlerinin bir şart olarak getirilmesi ve bu kapsamda</w:t>
      </w:r>
      <w:r w:rsidR="009E3CE5" w:rsidRPr="009E3CE5">
        <w:rPr>
          <w:rFonts w:ascii="Times New Roman" w:hAnsi="Times New Roman" w:cs="Times New Roman"/>
          <w:noProof w:val="0"/>
          <w:sz w:val="24"/>
          <w:szCs w:val="24"/>
        </w:rPr>
        <w:t xml:space="preserve"> </w:t>
      </w:r>
      <w:r w:rsidRPr="009E3CE5">
        <w:rPr>
          <w:rFonts w:ascii="Times New Roman" w:hAnsi="Times New Roman" w:cs="Times New Roman"/>
          <w:noProof w:val="0"/>
          <w:sz w:val="24"/>
          <w:szCs w:val="24"/>
        </w:rPr>
        <w:t>referans dokümanların kullanılması etkin hale getirilmiştir.</w:t>
      </w:r>
    </w:p>
    <w:p w:rsidR="00D44220" w:rsidRPr="009E3CE5" w:rsidRDefault="00982E5E" w:rsidP="009E3CE5">
      <w:pPr>
        <w:numPr>
          <w:ilvl w:val="0"/>
          <w:numId w:val="9"/>
        </w:numPr>
        <w:autoSpaceDE w:val="0"/>
        <w:autoSpaceDN w:val="0"/>
        <w:adjustRightInd w:val="0"/>
        <w:spacing w:after="0"/>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 xml:space="preserve">Büyük yakma tesisleri için BAT temelli yeni minimum </w:t>
      </w:r>
      <w:proofErr w:type="gramStart"/>
      <w:r w:rsidRPr="009E3CE5">
        <w:rPr>
          <w:rFonts w:ascii="Times New Roman" w:hAnsi="Times New Roman" w:cs="Times New Roman"/>
          <w:noProof w:val="0"/>
          <w:sz w:val="24"/>
          <w:szCs w:val="24"/>
        </w:rPr>
        <w:t>emisyon</w:t>
      </w:r>
      <w:proofErr w:type="gramEnd"/>
      <w:r w:rsidRPr="009E3CE5">
        <w:rPr>
          <w:rFonts w:ascii="Times New Roman" w:hAnsi="Times New Roman" w:cs="Times New Roman"/>
          <w:noProof w:val="0"/>
          <w:sz w:val="24"/>
          <w:szCs w:val="24"/>
        </w:rPr>
        <w:t xml:space="preserve"> limit değerlerinin getirilmesi,</w:t>
      </w:r>
      <w:r w:rsidR="009E3CE5" w:rsidRPr="009E3CE5">
        <w:rPr>
          <w:rFonts w:ascii="Times New Roman" w:hAnsi="Times New Roman" w:cs="Times New Roman"/>
          <w:noProof w:val="0"/>
          <w:sz w:val="24"/>
          <w:szCs w:val="24"/>
        </w:rPr>
        <w:t xml:space="preserve"> </w:t>
      </w:r>
      <w:r w:rsidRPr="009E3CE5">
        <w:rPr>
          <w:rFonts w:ascii="Times New Roman" w:hAnsi="Times New Roman" w:cs="Times New Roman"/>
          <w:noProof w:val="0"/>
          <w:sz w:val="24"/>
          <w:szCs w:val="24"/>
        </w:rPr>
        <w:t>esnek</w:t>
      </w:r>
      <w:r w:rsidR="009E3CE5" w:rsidRPr="009E3CE5">
        <w:rPr>
          <w:rFonts w:ascii="Times New Roman" w:hAnsi="Times New Roman" w:cs="Times New Roman"/>
          <w:noProof w:val="0"/>
          <w:sz w:val="24"/>
          <w:szCs w:val="24"/>
        </w:rPr>
        <w:t>l</w:t>
      </w:r>
      <w:r w:rsidRPr="009E3CE5">
        <w:rPr>
          <w:rFonts w:ascii="Times New Roman" w:hAnsi="Times New Roman" w:cs="Times New Roman"/>
          <w:noProof w:val="0"/>
          <w:sz w:val="24"/>
          <w:szCs w:val="24"/>
        </w:rPr>
        <w:t xml:space="preserve">ikler ve </w:t>
      </w:r>
      <w:proofErr w:type="spellStart"/>
      <w:r w:rsidRPr="009E3CE5">
        <w:rPr>
          <w:rFonts w:ascii="Times New Roman" w:hAnsi="Times New Roman" w:cs="Times New Roman"/>
          <w:noProof w:val="0"/>
          <w:sz w:val="24"/>
          <w:szCs w:val="24"/>
        </w:rPr>
        <w:t>derogasyonların</w:t>
      </w:r>
      <w:proofErr w:type="spellEnd"/>
      <w:r w:rsidRPr="009E3CE5">
        <w:rPr>
          <w:rFonts w:ascii="Times New Roman" w:hAnsi="Times New Roman" w:cs="Times New Roman"/>
          <w:noProof w:val="0"/>
          <w:sz w:val="24"/>
          <w:szCs w:val="24"/>
        </w:rPr>
        <w:t xml:space="preserve"> sağlanması gibi hususlar detaylandırılmıştır.</w:t>
      </w:r>
    </w:p>
    <w:p w:rsidR="009E3CE5" w:rsidRPr="009E3CE5" w:rsidRDefault="00982E5E" w:rsidP="009E3CE5">
      <w:pPr>
        <w:numPr>
          <w:ilvl w:val="0"/>
          <w:numId w:val="9"/>
        </w:numPr>
        <w:autoSpaceDE w:val="0"/>
        <w:autoSpaceDN w:val="0"/>
        <w:adjustRightInd w:val="0"/>
        <w:spacing w:after="0"/>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lastRenderedPageBreak/>
        <w:t>Denetim gerekliliklerinde büyük adımlar atılmış; izin koşulları yeniden gözden geçirilerek</w:t>
      </w:r>
      <w:r w:rsidR="009E3CE5" w:rsidRPr="009E3CE5">
        <w:rPr>
          <w:rFonts w:ascii="Times New Roman" w:hAnsi="Times New Roman" w:cs="Times New Roman"/>
          <w:noProof w:val="0"/>
          <w:sz w:val="24"/>
          <w:szCs w:val="24"/>
        </w:rPr>
        <w:t xml:space="preserve"> </w:t>
      </w:r>
      <w:proofErr w:type="spellStart"/>
      <w:r w:rsidRPr="009E3CE5">
        <w:rPr>
          <w:rFonts w:ascii="Times New Roman" w:hAnsi="Times New Roman" w:cs="Times New Roman"/>
          <w:noProof w:val="0"/>
          <w:sz w:val="24"/>
          <w:szCs w:val="24"/>
        </w:rPr>
        <w:t>BREF</w:t>
      </w:r>
      <w:r w:rsidR="009E3CE5" w:rsidRPr="009E3CE5">
        <w:rPr>
          <w:rFonts w:ascii="Times New Roman" w:hAnsi="Times New Roman" w:cs="Times New Roman"/>
          <w:noProof w:val="0"/>
          <w:sz w:val="24"/>
          <w:szCs w:val="24"/>
        </w:rPr>
        <w:t>’</w:t>
      </w:r>
      <w:r w:rsidRPr="009E3CE5">
        <w:rPr>
          <w:rFonts w:ascii="Times New Roman" w:hAnsi="Times New Roman" w:cs="Times New Roman"/>
          <w:noProof w:val="0"/>
          <w:sz w:val="24"/>
          <w:szCs w:val="24"/>
        </w:rPr>
        <w:t>le</w:t>
      </w:r>
      <w:r w:rsidR="009E3CE5" w:rsidRPr="009E3CE5">
        <w:rPr>
          <w:rFonts w:ascii="Times New Roman" w:hAnsi="Times New Roman" w:cs="Times New Roman"/>
          <w:noProof w:val="0"/>
          <w:sz w:val="24"/>
          <w:szCs w:val="24"/>
        </w:rPr>
        <w:t>rle</w:t>
      </w:r>
      <w:proofErr w:type="spellEnd"/>
      <w:r w:rsidR="009E3CE5" w:rsidRPr="009E3CE5">
        <w:rPr>
          <w:rFonts w:ascii="Times New Roman" w:hAnsi="Times New Roman" w:cs="Times New Roman"/>
          <w:noProof w:val="0"/>
          <w:sz w:val="24"/>
          <w:szCs w:val="24"/>
        </w:rPr>
        <w:t xml:space="preserve"> </w:t>
      </w:r>
      <w:proofErr w:type="gramStart"/>
      <w:r w:rsidR="009E3CE5" w:rsidRPr="009E3CE5">
        <w:rPr>
          <w:rFonts w:ascii="Times New Roman" w:hAnsi="Times New Roman" w:cs="Times New Roman"/>
          <w:noProof w:val="0"/>
          <w:sz w:val="24"/>
          <w:szCs w:val="24"/>
        </w:rPr>
        <w:t>entegrasyonu</w:t>
      </w:r>
      <w:proofErr w:type="gramEnd"/>
      <w:r w:rsidR="009E3CE5" w:rsidRPr="009E3CE5">
        <w:rPr>
          <w:rFonts w:ascii="Times New Roman" w:hAnsi="Times New Roman" w:cs="Times New Roman"/>
          <w:noProof w:val="0"/>
          <w:sz w:val="24"/>
          <w:szCs w:val="24"/>
        </w:rPr>
        <w:t xml:space="preserve"> sağlanmış ve </w:t>
      </w:r>
      <w:r w:rsidRPr="009E3CE5">
        <w:rPr>
          <w:rFonts w:ascii="Times New Roman" w:hAnsi="Times New Roman" w:cs="Times New Roman"/>
          <w:noProof w:val="0"/>
          <w:sz w:val="24"/>
          <w:szCs w:val="24"/>
        </w:rPr>
        <w:t>raporlama uyumluluğu konularında çoğu madde</w:t>
      </w:r>
      <w:r w:rsidR="009E3CE5" w:rsidRPr="009E3CE5">
        <w:rPr>
          <w:rFonts w:ascii="Times New Roman" w:hAnsi="Times New Roman" w:cs="Times New Roman"/>
          <w:noProof w:val="0"/>
          <w:sz w:val="24"/>
          <w:szCs w:val="24"/>
        </w:rPr>
        <w:t xml:space="preserve"> </w:t>
      </w:r>
      <w:r w:rsidRPr="009E3CE5">
        <w:rPr>
          <w:rFonts w:ascii="Times New Roman" w:hAnsi="Times New Roman" w:cs="Times New Roman"/>
          <w:noProof w:val="0"/>
          <w:sz w:val="24"/>
          <w:szCs w:val="24"/>
        </w:rPr>
        <w:t>güçlendirilmiştir.</w:t>
      </w:r>
    </w:p>
    <w:p w:rsidR="009E3CE5" w:rsidRPr="009E3CE5" w:rsidRDefault="009E3CE5" w:rsidP="009E3CE5">
      <w:pPr>
        <w:numPr>
          <w:ilvl w:val="0"/>
          <w:numId w:val="9"/>
        </w:numPr>
        <w:autoSpaceDE w:val="0"/>
        <w:autoSpaceDN w:val="0"/>
        <w:adjustRightInd w:val="0"/>
        <w:spacing w:after="0"/>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Toprak ve yeraltı suyu konularında kapsam ve maddeler geliştirilmiştir.</w:t>
      </w:r>
    </w:p>
    <w:p w:rsidR="009E3CE5" w:rsidRPr="009E3CE5" w:rsidRDefault="009E3CE5" w:rsidP="009E3CE5">
      <w:pPr>
        <w:autoSpaceDE w:val="0"/>
        <w:autoSpaceDN w:val="0"/>
        <w:adjustRightInd w:val="0"/>
        <w:spacing w:after="0"/>
        <w:ind w:firstLine="708"/>
        <w:jc w:val="both"/>
        <w:rPr>
          <w:rFonts w:ascii="Times New Roman" w:hAnsi="Times New Roman" w:cs="Times New Roman"/>
          <w:noProof w:val="0"/>
          <w:sz w:val="24"/>
          <w:szCs w:val="24"/>
        </w:rPr>
      </w:pPr>
    </w:p>
    <w:p w:rsidR="009E3CE5" w:rsidRPr="009E3CE5" w:rsidRDefault="009E3CE5" w:rsidP="009E3CE5">
      <w:pPr>
        <w:autoSpaceDE w:val="0"/>
        <w:autoSpaceDN w:val="0"/>
        <w:adjustRightInd w:val="0"/>
        <w:spacing w:after="0"/>
        <w:ind w:firstLine="708"/>
        <w:jc w:val="both"/>
        <w:rPr>
          <w:rFonts w:ascii="Times New Roman" w:hAnsi="Times New Roman" w:cs="Times New Roman"/>
          <w:noProof w:val="0"/>
          <w:sz w:val="24"/>
          <w:szCs w:val="24"/>
        </w:rPr>
      </w:pPr>
    </w:p>
    <w:tbl>
      <w:tblPr>
        <w:tblStyle w:val="TabloKlavuzu"/>
        <w:tblW w:w="0" w:type="auto"/>
        <w:tblLook w:val="04A0"/>
      </w:tblPr>
      <w:tblGrid>
        <w:gridCol w:w="7338"/>
        <w:gridCol w:w="1874"/>
      </w:tblGrid>
      <w:tr w:rsidR="009E3CE5" w:rsidRPr="009E3CE5" w:rsidTr="00D44220">
        <w:tc>
          <w:tcPr>
            <w:tcW w:w="9212" w:type="dxa"/>
            <w:gridSpan w:val="2"/>
          </w:tcPr>
          <w:p w:rsidR="009E3CE5" w:rsidRPr="009E3CE5" w:rsidRDefault="009E3CE5" w:rsidP="009E3CE5">
            <w:pPr>
              <w:autoSpaceDE w:val="0"/>
              <w:autoSpaceDN w:val="0"/>
              <w:adjustRightInd w:val="0"/>
              <w:spacing w:line="276" w:lineRule="auto"/>
              <w:ind w:firstLine="708"/>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Ülkemizin Müzakere Süreci Ve Uygulama Takvimi:</w:t>
            </w:r>
          </w:p>
        </w:tc>
      </w:tr>
      <w:tr w:rsidR="009E3CE5" w:rsidRPr="009E3CE5" w:rsidTr="00D44220">
        <w:tc>
          <w:tcPr>
            <w:tcW w:w="7338" w:type="dxa"/>
          </w:tcPr>
          <w:p w:rsidR="009E3CE5" w:rsidRPr="009E3CE5" w:rsidRDefault="009E3CE5" w:rsidP="009E3CE5">
            <w:pPr>
              <w:autoSpaceDE w:val="0"/>
              <w:autoSpaceDN w:val="0"/>
              <w:adjustRightInd w:val="0"/>
              <w:spacing w:line="276" w:lineRule="auto"/>
              <w:ind w:firstLine="708"/>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IPPC, IED &amp; Entegre İzin Uyumlaştırma</w:t>
            </w:r>
          </w:p>
          <w:p w:rsidR="009E3CE5" w:rsidRPr="009E3CE5" w:rsidRDefault="009E3CE5" w:rsidP="009E3CE5">
            <w:pPr>
              <w:autoSpaceDE w:val="0"/>
              <w:autoSpaceDN w:val="0"/>
              <w:adjustRightInd w:val="0"/>
              <w:spacing w:line="276" w:lineRule="auto"/>
              <w:ind w:firstLine="708"/>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 xml:space="preserve">(Sanayi işletmeleri için Avrupa Birliğinde uygulanan </w:t>
            </w:r>
            <w:proofErr w:type="gramStart"/>
            <w:r w:rsidRPr="009E3CE5">
              <w:rPr>
                <w:rFonts w:ascii="Times New Roman" w:hAnsi="Times New Roman" w:cs="Times New Roman"/>
                <w:noProof w:val="0"/>
                <w:sz w:val="24"/>
                <w:szCs w:val="24"/>
              </w:rPr>
              <w:t>entegre</w:t>
            </w:r>
            <w:proofErr w:type="gramEnd"/>
            <w:r w:rsidRPr="009E3CE5">
              <w:rPr>
                <w:rFonts w:ascii="Times New Roman" w:hAnsi="Times New Roman" w:cs="Times New Roman"/>
                <w:noProof w:val="0"/>
                <w:sz w:val="24"/>
                <w:szCs w:val="24"/>
              </w:rPr>
              <w:t xml:space="preserve"> izin sistemin Türkiye’de uygulanmasına esas mevzuatın oluşturulması )</w:t>
            </w:r>
          </w:p>
        </w:tc>
        <w:tc>
          <w:tcPr>
            <w:tcW w:w="1874" w:type="dxa"/>
          </w:tcPr>
          <w:p w:rsidR="009E3CE5" w:rsidRPr="009E3CE5" w:rsidRDefault="009E3CE5" w:rsidP="009E3CE5">
            <w:pPr>
              <w:autoSpaceDE w:val="0"/>
              <w:autoSpaceDN w:val="0"/>
              <w:adjustRightInd w:val="0"/>
              <w:spacing w:line="276" w:lineRule="auto"/>
              <w:ind w:firstLine="708"/>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2012</w:t>
            </w:r>
          </w:p>
        </w:tc>
      </w:tr>
      <w:tr w:rsidR="009E3CE5" w:rsidRPr="009E3CE5" w:rsidTr="00D44220">
        <w:tc>
          <w:tcPr>
            <w:tcW w:w="7338" w:type="dxa"/>
          </w:tcPr>
          <w:p w:rsidR="009E3CE5" w:rsidRPr="009E3CE5" w:rsidRDefault="009E3CE5" w:rsidP="009E3CE5">
            <w:pPr>
              <w:autoSpaceDE w:val="0"/>
              <w:autoSpaceDN w:val="0"/>
              <w:adjustRightInd w:val="0"/>
              <w:spacing w:line="276" w:lineRule="auto"/>
              <w:ind w:firstLine="708"/>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Entegre izin sistemine geçiş</w:t>
            </w:r>
          </w:p>
        </w:tc>
        <w:tc>
          <w:tcPr>
            <w:tcW w:w="1874" w:type="dxa"/>
          </w:tcPr>
          <w:p w:rsidR="009E3CE5" w:rsidRPr="009E3CE5" w:rsidRDefault="009E3CE5" w:rsidP="009E3CE5">
            <w:pPr>
              <w:autoSpaceDE w:val="0"/>
              <w:autoSpaceDN w:val="0"/>
              <w:adjustRightInd w:val="0"/>
              <w:spacing w:line="276" w:lineRule="auto"/>
              <w:ind w:firstLine="708"/>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2015</w:t>
            </w:r>
          </w:p>
        </w:tc>
      </w:tr>
      <w:tr w:rsidR="009E3CE5" w:rsidRPr="009E3CE5" w:rsidTr="00D44220">
        <w:tc>
          <w:tcPr>
            <w:tcW w:w="7338" w:type="dxa"/>
          </w:tcPr>
          <w:p w:rsidR="009E3CE5" w:rsidRPr="009E3CE5" w:rsidRDefault="009E3CE5" w:rsidP="009E3CE5">
            <w:pPr>
              <w:autoSpaceDE w:val="0"/>
              <w:autoSpaceDN w:val="0"/>
              <w:adjustRightInd w:val="0"/>
              <w:spacing w:line="276" w:lineRule="auto"/>
              <w:ind w:firstLine="708"/>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 xml:space="preserve">Türkiye’de </w:t>
            </w:r>
            <w:proofErr w:type="gramStart"/>
            <w:r w:rsidRPr="009E3CE5">
              <w:rPr>
                <w:rFonts w:ascii="Times New Roman" w:hAnsi="Times New Roman" w:cs="Times New Roman"/>
                <w:noProof w:val="0"/>
                <w:sz w:val="24"/>
                <w:szCs w:val="24"/>
              </w:rPr>
              <w:t>entegre</w:t>
            </w:r>
            <w:proofErr w:type="gramEnd"/>
            <w:r w:rsidRPr="009E3CE5">
              <w:rPr>
                <w:rFonts w:ascii="Times New Roman" w:hAnsi="Times New Roman" w:cs="Times New Roman"/>
                <w:noProof w:val="0"/>
                <w:sz w:val="24"/>
                <w:szCs w:val="24"/>
              </w:rPr>
              <w:t xml:space="preserve"> izin sisteminin tam uygulanması</w:t>
            </w:r>
          </w:p>
        </w:tc>
        <w:tc>
          <w:tcPr>
            <w:tcW w:w="1874" w:type="dxa"/>
          </w:tcPr>
          <w:p w:rsidR="009E3CE5" w:rsidRPr="009E3CE5" w:rsidRDefault="009E3CE5" w:rsidP="009E3CE5">
            <w:pPr>
              <w:autoSpaceDE w:val="0"/>
              <w:autoSpaceDN w:val="0"/>
              <w:adjustRightInd w:val="0"/>
              <w:spacing w:line="276" w:lineRule="auto"/>
              <w:ind w:firstLine="708"/>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2018</w:t>
            </w:r>
          </w:p>
        </w:tc>
      </w:tr>
    </w:tbl>
    <w:p w:rsidR="009E3CE5" w:rsidRPr="009E3CE5" w:rsidRDefault="009E3CE5" w:rsidP="009E3CE5">
      <w:pPr>
        <w:autoSpaceDE w:val="0"/>
        <w:autoSpaceDN w:val="0"/>
        <w:adjustRightInd w:val="0"/>
        <w:spacing w:after="0"/>
        <w:ind w:firstLine="708"/>
        <w:jc w:val="both"/>
        <w:rPr>
          <w:rFonts w:ascii="Times New Roman" w:hAnsi="Times New Roman" w:cs="Times New Roman"/>
          <w:noProof w:val="0"/>
          <w:sz w:val="24"/>
          <w:szCs w:val="24"/>
        </w:rPr>
      </w:pPr>
    </w:p>
    <w:p w:rsidR="009E3CE5" w:rsidRPr="009E3CE5" w:rsidRDefault="009E3CE5" w:rsidP="009E3CE5">
      <w:pPr>
        <w:autoSpaceDE w:val="0"/>
        <w:autoSpaceDN w:val="0"/>
        <w:adjustRightInd w:val="0"/>
        <w:spacing w:after="0"/>
        <w:ind w:firstLine="708"/>
        <w:jc w:val="both"/>
        <w:rPr>
          <w:rFonts w:ascii="Times New Roman" w:hAnsi="Times New Roman" w:cs="Times New Roman"/>
          <w:noProof w:val="0"/>
          <w:sz w:val="24"/>
          <w:szCs w:val="24"/>
        </w:rPr>
      </w:pPr>
    </w:p>
    <w:p w:rsidR="009E3CE5" w:rsidRPr="009E3CE5" w:rsidRDefault="009E3CE5" w:rsidP="00106DEB">
      <w:pPr>
        <w:rPr>
          <w:rFonts w:ascii="Times New Roman" w:hAnsi="Times New Roman" w:cs="Times New Roman"/>
          <w:noProof w:val="0"/>
          <w:sz w:val="24"/>
          <w:szCs w:val="24"/>
        </w:rPr>
      </w:pPr>
      <w:r w:rsidRPr="009E3CE5">
        <w:rPr>
          <w:rFonts w:ascii="Times New Roman" w:hAnsi="Times New Roman" w:cs="Times New Roman"/>
          <w:noProof w:val="0"/>
          <w:sz w:val="24"/>
          <w:szCs w:val="24"/>
        </w:rPr>
        <w:t xml:space="preserve">Hali hazırda, Endüstriyel Emisyonlar Direktifinin Türk yasal mevzuatına uyarlanması için Ülkemizde Çevre ve Şehircilik Bakanlığı’nın faydalanıcı olduğu Eşleştirme Projesi yürütülmektedir. Proje kapsamında </w:t>
      </w:r>
      <w:proofErr w:type="gramStart"/>
      <w:r w:rsidRPr="009E3CE5">
        <w:rPr>
          <w:rFonts w:ascii="Times New Roman" w:hAnsi="Times New Roman" w:cs="Times New Roman"/>
          <w:noProof w:val="0"/>
          <w:sz w:val="24"/>
          <w:szCs w:val="24"/>
        </w:rPr>
        <w:t>8  Haziran</w:t>
      </w:r>
      <w:proofErr w:type="gramEnd"/>
      <w:r w:rsidRPr="009E3CE5">
        <w:rPr>
          <w:rFonts w:ascii="Times New Roman" w:hAnsi="Times New Roman" w:cs="Times New Roman"/>
          <w:noProof w:val="0"/>
          <w:sz w:val="24"/>
          <w:szCs w:val="24"/>
        </w:rPr>
        <w:t xml:space="preserve"> 2012 Cuma Günü TOBB Ankara da yapılan bilgilendirme toplantısında;</w:t>
      </w:r>
    </w:p>
    <w:p w:rsidR="00D44220" w:rsidRPr="009E3CE5" w:rsidRDefault="00982E5E" w:rsidP="009E3CE5">
      <w:pPr>
        <w:numPr>
          <w:ilvl w:val="0"/>
          <w:numId w:val="11"/>
        </w:numPr>
        <w:autoSpaceDE w:val="0"/>
        <w:autoSpaceDN w:val="0"/>
        <w:adjustRightInd w:val="0"/>
        <w:spacing w:after="0"/>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IPPC İzni ile Bakanlık tarafından verilen tüm çevre izin ve lisans uygulamalarının Entegre edilmesi yani işletmelerden kaynaklanan kirliliğin bir alıcı ortamdan başka bir alıcı ortama yani hava alıcı ortamından su veya toprak alıcı ortamına taşınmadan en aza indirilmesi ve önlenmesinin öngörüldüğü,</w:t>
      </w:r>
    </w:p>
    <w:p w:rsidR="00D44220" w:rsidRPr="009E3CE5" w:rsidRDefault="00982E5E" w:rsidP="009E3CE5">
      <w:pPr>
        <w:numPr>
          <w:ilvl w:val="0"/>
          <w:numId w:val="11"/>
        </w:numPr>
        <w:autoSpaceDE w:val="0"/>
        <w:autoSpaceDN w:val="0"/>
        <w:adjustRightInd w:val="0"/>
        <w:spacing w:after="0"/>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 xml:space="preserve">IPPC Direktifinin uyumlaştırma maliyetinin 14 milyon EURO olduğu, bu maliyetin IPPC Kapsamına giren </w:t>
      </w:r>
      <w:proofErr w:type="gramStart"/>
      <w:r w:rsidRPr="009E3CE5">
        <w:rPr>
          <w:rFonts w:ascii="Times New Roman" w:hAnsi="Times New Roman" w:cs="Times New Roman"/>
          <w:noProof w:val="0"/>
          <w:sz w:val="24"/>
          <w:szCs w:val="24"/>
        </w:rPr>
        <w:t>proseslerde</w:t>
      </w:r>
      <w:proofErr w:type="gramEnd"/>
      <w:r w:rsidRPr="009E3CE5">
        <w:rPr>
          <w:rFonts w:ascii="Times New Roman" w:hAnsi="Times New Roman" w:cs="Times New Roman"/>
          <w:noProof w:val="0"/>
          <w:sz w:val="24"/>
          <w:szCs w:val="24"/>
        </w:rPr>
        <w:t xml:space="preserve"> Mevcut En İyi Tekniklere göre yapılacak iyileştirme maliyeti olduğu (AB Çevre Faslı Açılış Kriterinin” karşılanmasına yönelik hazırlanan Kapsamlı strateji Belgesinde </w:t>
      </w:r>
      <w:proofErr w:type="spellStart"/>
      <w:r w:rsidRPr="009E3CE5">
        <w:rPr>
          <w:rFonts w:ascii="Times New Roman" w:hAnsi="Times New Roman" w:cs="Times New Roman"/>
          <w:noProof w:val="0"/>
          <w:sz w:val="24"/>
          <w:szCs w:val="24"/>
        </w:rPr>
        <w:t>yeraldığı</w:t>
      </w:r>
      <w:proofErr w:type="spellEnd"/>
      <w:r w:rsidRPr="009E3CE5">
        <w:rPr>
          <w:rFonts w:ascii="Times New Roman" w:hAnsi="Times New Roman" w:cs="Times New Roman"/>
          <w:noProof w:val="0"/>
          <w:sz w:val="24"/>
          <w:szCs w:val="24"/>
        </w:rPr>
        <w:t xml:space="preserve"> üzere )</w:t>
      </w:r>
    </w:p>
    <w:p w:rsidR="00D44220" w:rsidRPr="009E3CE5" w:rsidRDefault="00982E5E" w:rsidP="009E3CE5">
      <w:pPr>
        <w:numPr>
          <w:ilvl w:val="0"/>
          <w:numId w:val="11"/>
        </w:numPr>
        <w:autoSpaceDE w:val="0"/>
        <w:autoSpaceDN w:val="0"/>
        <w:adjustRightInd w:val="0"/>
        <w:spacing w:after="0"/>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Ülkemizde yaklaşık 4500 IPPC kapsamına giren İşletme olduğu,</w:t>
      </w:r>
    </w:p>
    <w:p w:rsidR="00D44220" w:rsidRPr="009E3CE5" w:rsidRDefault="00982E5E" w:rsidP="009E3CE5">
      <w:pPr>
        <w:numPr>
          <w:ilvl w:val="0"/>
          <w:numId w:val="11"/>
        </w:numPr>
        <w:autoSpaceDE w:val="0"/>
        <w:autoSpaceDN w:val="0"/>
        <w:adjustRightInd w:val="0"/>
        <w:spacing w:after="0"/>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Uyuma ilişkin Taslak yönetmeliğin 2012 Temmuz ayında yayımlanacağı,</w:t>
      </w:r>
    </w:p>
    <w:p w:rsidR="00D44220" w:rsidRPr="009E3CE5" w:rsidRDefault="00982E5E" w:rsidP="009E3CE5">
      <w:pPr>
        <w:numPr>
          <w:ilvl w:val="0"/>
          <w:numId w:val="11"/>
        </w:numPr>
        <w:autoSpaceDE w:val="0"/>
        <w:autoSpaceDN w:val="0"/>
        <w:adjustRightInd w:val="0"/>
        <w:spacing w:after="0"/>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 xml:space="preserve">Yönetmelik ile Mevcut Çevre izin Lisans Prosedürüne tabi işletmeler listesi ile Entegre Çevre İzni kapsamında yer alacak işletmeler listesinin tek liste haline getirilerek, bu </w:t>
      </w:r>
      <w:r w:rsidR="009E3CE5" w:rsidRPr="009E3CE5">
        <w:rPr>
          <w:rFonts w:ascii="Times New Roman" w:hAnsi="Times New Roman" w:cs="Times New Roman"/>
          <w:noProof w:val="0"/>
          <w:sz w:val="24"/>
          <w:szCs w:val="24"/>
        </w:rPr>
        <w:t>kapsamdaki</w:t>
      </w:r>
      <w:r w:rsidRPr="009E3CE5">
        <w:rPr>
          <w:rFonts w:ascii="Times New Roman" w:hAnsi="Times New Roman" w:cs="Times New Roman"/>
          <w:noProof w:val="0"/>
          <w:sz w:val="24"/>
          <w:szCs w:val="24"/>
        </w:rPr>
        <w:t xml:space="preserve"> işletme/faaliyetler için izin </w:t>
      </w:r>
      <w:proofErr w:type="gramStart"/>
      <w:r w:rsidRPr="009E3CE5">
        <w:rPr>
          <w:rFonts w:ascii="Times New Roman" w:hAnsi="Times New Roman" w:cs="Times New Roman"/>
          <w:noProof w:val="0"/>
          <w:sz w:val="24"/>
          <w:szCs w:val="24"/>
        </w:rPr>
        <w:t>prosedürünün</w:t>
      </w:r>
      <w:proofErr w:type="gramEnd"/>
      <w:r w:rsidRPr="009E3CE5">
        <w:rPr>
          <w:rFonts w:ascii="Times New Roman" w:hAnsi="Times New Roman" w:cs="Times New Roman"/>
          <w:noProof w:val="0"/>
          <w:sz w:val="24"/>
          <w:szCs w:val="24"/>
        </w:rPr>
        <w:t xml:space="preserve"> birleştirileceği</w:t>
      </w:r>
    </w:p>
    <w:p w:rsidR="00D44220" w:rsidRPr="009E3CE5" w:rsidRDefault="00982E5E" w:rsidP="009E3CE5">
      <w:pPr>
        <w:numPr>
          <w:ilvl w:val="0"/>
          <w:numId w:val="11"/>
        </w:numPr>
        <w:autoSpaceDE w:val="0"/>
        <w:autoSpaceDN w:val="0"/>
        <w:adjustRightInd w:val="0"/>
        <w:spacing w:after="0"/>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Ayrıca yönetmelik ile yeni tesislerin, tesisin inşasına başlamadan önce (ÇED 11 Madde kapsamında) ayrıca Entegre Çevre İzni için başvuru yapmasının öngörüldüğü,</w:t>
      </w:r>
    </w:p>
    <w:p w:rsidR="00D44220" w:rsidRPr="009E3CE5" w:rsidRDefault="00982E5E" w:rsidP="009E3CE5">
      <w:pPr>
        <w:numPr>
          <w:ilvl w:val="0"/>
          <w:numId w:val="11"/>
        </w:numPr>
        <w:autoSpaceDE w:val="0"/>
        <w:autoSpaceDN w:val="0"/>
        <w:adjustRightInd w:val="0"/>
        <w:spacing w:after="0"/>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 xml:space="preserve">Proje kapsamında İşletmeler için başvuru kılavuzu ve sektör kılavuzlarının yani </w:t>
      </w:r>
      <w:proofErr w:type="spellStart"/>
      <w:r w:rsidRPr="009E3CE5">
        <w:rPr>
          <w:rFonts w:ascii="Times New Roman" w:hAnsi="Times New Roman" w:cs="Times New Roman"/>
          <w:noProof w:val="0"/>
          <w:sz w:val="24"/>
          <w:szCs w:val="24"/>
        </w:rPr>
        <w:t>BREF’lerin</w:t>
      </w:r>
      <w:proofErr w:type="spellEnd"/>
      <w:r w:rsidRPr="009E3CE5">
        <w:rPr>
          <w:rFonts w:ascii="Times New Roman" w:hAnsi="Times New Roman" w:cs="Times New Roman"/>
          <w:noProof w:val="0"/>
          <w:sz w:val="24"/>
          <w:szCs w:val="24"/>
        </w:rPr>
        <w:t xml:space="preserve"> ülkemizdeki 4 sektöre adaptasyonun yapılacağı,</w:t>
      </w:r>
    </w:p>
    <w:p w:rsidR="00D44220" w:rsidRPr="009E3CE5" w:rsidRDefault="00982E5E" w:rsidP="009E3CE5">
      <w:pPr>
        <w:numPr>
          <w:ilvl w:val="0"/>
          <w:numId w:val="11"/>
        </w:numPr>
        <w:autoSpaceDE w:val="0"/>
        <w:autoSpaceDN w:val="0"/>
        <w:adjustRightInd w:val="0"/>
        <w:spacing w:after="0"/>
        <w:jc w:val="both"/>
        <w:rPr>
          <w:rFonts w:ascii="Times New Roman" w:hAnsi="Times New Roman" w:cs="Times New Roman"/>
          <w:noProof w:val="0"/>
          <w:sz w:val="24"/>
          <w:szCs w:val="24"/>
        </w:rPr>
      </w:pPr>
      <w:r w:rsidRPr="009E3CE5">
        <w:rPr>
          <w:rFonts w:ascii="Times New Roman" w:hAnsi="Times New Roman" w:cs="Times New Roman"/>
          <w:noProof w:val="0"/>
          <w:sz w:val="24"/>
          <w:szCs w:val="24"/>
        </w:rPr>
        <w:t xml:space="preserve">Yürütülen projeye eş zamanlı yürütülen teknik yardım projesi ile ülkemizde Entegre çevre iznine tabi tesis </w:t>
      </w:r>
      <w:proofErr w:type="gramStart"/>
      <w:r w:rsidRPr="009E3CE5">
        <w:rPr>
          <w:rFonts w:ascii="Times New Roman" w:hAnsi="Times New Roman" w:cs="Times New Roman"/>
          <w:noProof w:val="0"/>
          <w:sz w:val="24"/>
          <w:szCs w:val="24"/>
        </w:rPr>
        <w:t>envanterinin</w:t>
      </w:r>
      <w:proofErr w:type="gramEnd"/>
      <w:r w:rsidRPr="009E3CE5">
        <w:rPr>
          <w:rFonts w:ascii="Times New Roman" w:hAnsi="Times New Roman" w:cs="Times New Roman"/>
          <w:noProof w:val="0"/>
          <w:sz w:val="24"/>
          <w:szCs w:val="24"/>
        </w:rPr>
        <w:t xml:space="preserve"> oluşturulmasının (Haziran –Temmuz 2012) öngörüldüğü hususları dile getirilmiştir.</w:t>
      </w:r>
    </w:p>
    <w:p w:rsidR="009E3CE5" w:rsidRPr="009E3CE5" w:rsidRDefault="009E3CE5" w:rsidP="009E3CE5">
      <w:pPr>
        <w:autoSpaceDE w:val="0"/>
        <w:autoSpaceDN w:val="0"/>
        <w:adjustRightInd w:val="0"/>
        <w:spacing w:after="0"/>
        <w:ind w:firstLine="708"/>
        <w:jc w:val="both"/>
        <w:rPr>
          <w:rFonts w:ascii="Times New Roman" w:hAnsi="Times New Roman" w:cs="Times New Roman"/>
          <w:noProof w:val="0"/>
          <w:sz w:val="24"/>
          <w:szCs w:val="24"/>
        </w:rPr>
      </w:pPr>
    </w:p>
    <w:p w:rsidR="00E657E2" w:rsidRDefault="00E657E2" w:rsidP="00E657E2">
      <w:pPr>
        <w:spacing w:after="0"/>
        <w:rPr>
          <w:rFonts w:ascii="Times New Roman" w:hAnsi="Times New Roman" w:cs="Times New Roman"/>
          <w:sz w:val="24"/>
          <w:szCs w:val="24"/>
        </w:rPr>
      </w:pPr>
      <w:r>
        <w:rPr>
          <w:rFonts w:ascii="Times New Roman" w:hAnsi="Times New Roman"/>
          <w:sz w:val="24"/>
          <w:szCs w:val="24"/>
        </w:rPr>
        <w:t xml:space="preserve">EKÖK Direktifi uyum çalışmaları kapsamında </w:t>
      </w:r>
      <w:r>
        <w:rPr>
          <w:rFonts w:ascii="Times New Roman" w:hAnsi="Times New Roman" w:cs="Times New Roman"/>
          <w:sz w:val="24"/>
          <w:szCs w:val="24"/>
        </w:rPr>
        <w:t xml:space="preserve">Çevre ve Şehircilik Bakanlığı Hava Yönetimi Daire Başkanlığı altında Entegre Kirlilik Önleme Şube Müdürlüğü yapılandırılmıştır. Bakanlık Entegre Kirlilik Önleme Kontrol (EKÖK) direktifinin iç mevzuata kazandırılarak </w:t>
      </w:r>
      <w:r>
        <w:rPr>
          <w:rFonts w:ascii="Times New Roman" w:hAnsi="Times New Roman" w:cs="Times New Roman"/>
          <w:sz w:val="24"/>
          <w:szCs w:val="24"/>
        </w:rPr>
        <w:lastRenderedPageBreak/>
        <w:t>uygulanması amacıyla “Entegre Kirlilik Önleme ve Kopntrol Direktifinin (IPPC-2008/01/EC) Türkiye’de Uygulanmasının Desteklenmesi Projesi”ni 2008 yılında önermiş, ihale aşamasındadır. Nisan 2012 tarihinde başlaması beklenmektedir. Proje kapsamında;</w:t>
      </w:r>
    </w:p>
    <w:p w:rsidR="00E657E2" w:rsidRDefault="00E657E2" w:rsidP="00E657E2">
      <w:pPr>
        <w:autoSpaceDE w:val="0"/>
        <w:autoSpaceDN w:val="0"/>
        <w:adjustRightInd w:val="0"/>
        <w:spacing w:after="0" w:line="240" w:lineRule="auto"/>
        <w:rPr>
          <w:rFonts w:ascii="Times New Roman" w:hAnsi="Times New Roman" w:cs="Times New Roman"/>
          <w:sz w:val="24"/>
          <w:szCs w:val="24"/>
        </w:rPr>
      </w:pPr>
    </w:p>
    <w:p w:rsidR="00E657E2" w:rsidRPr="001534DF" w:rsidRDefault="00E657E2" w:rsidP="00E657E2">
      <w:pPr>
        <w:pStyle w:val="ListeParagraf"/>
        <w:numPr>
          <w:ilvl w:val="0"/>
          <w:numId w:val="12"/>
        </w:numPr>
        <w:autoSpaceDE w:val="0"/>
        <w:autoSpaceDN w:val="0"/>
        <w:adjustRightInd w:val="0"/>
        <w:spacing w:after="0"/>
        <w:rPr>
          <w:rFonts w:ascii="Times New Roman" w:hAnsi="Times New Roman" w:cs="Times New Roman"/>
          <w:sz w:val="24"/>
          <w:szCs w:val="24"/>
        </w:rPr>
      </w:pPr>
      <w:r w:rsidRPr="001534DF">
        <w:rPr>
          <w:rFonts w:ascii="Times New Roman" w:hAnsi="Times New Roman" w:cs="Times New Roman"/>
          <w:sz w:val="24"/>
          <w:szCs w:val="24"/>
        </w:rPr>
        <w:t>Entegre izin sürecinde ilgili tüm paydaşlarda farkındalığın arttırılmasına yönelik olarak bilişim sistemlerinin kullanılması,</w:t>
      </w:r>
    </w:p>
    <w:p w:rsidR="00E657E2" w:rsidRDefault="00E657E2" w:rsidP="00E657E2">
      <w:pPr>
        <w:pStyle w:val="ListeParagraf"/>
        <w:numPr>
          <w:ilvl w:val="0"/>
          <w:numId w:val="12"/>
        </w:numPr>
        <w:autoSpaceDE w:val="0"/>
        <w:autoSpaceDN w:val="0"/>
        <w:adjustRightInd w:val="0"/>
        <w:spacing w:after="0"/>
        <w:rPr>
          <w:rFonts w:ascii="Times New Roman" w:hAnsi="Times New Roman" w:cs="Times New Roman"/>
          <w:sz w:val="24"/>
          <w:szCs w:val="24"/>
        </w:rPr>
      </w:pPr>
      <w:r w:rsidRPr="001534DF">
        <w:rPr>
          <w:rFonts w:ascii="Times New Roman" w:hAnsi="Times New Roman" w:cs="Times New Roman"/>
          <w:sz w:val="24"/>
          <w:szCs w:val="24"/>
        </w:rPr>
        <w:t>IPPC mevzuatının oluşturulması ve müzakerelerde ülke koşullarına uygun geçiş süreleri alınabilmesi için IPPC tesis envanterinin oluşturulması,</w:t>
      </w:r>
    </w:p>
    <w:p w:rsidR="00E657E2" w:rsidRDefault="00E657E2" w:rsidP="00E657E2">
      <w:pPr>
        <w:pStyle w:val="ListeParagraf"/>
        <w:numPr>
          <w:ilvl w:val="0"/>
          <w:numId w:val="12"/>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Uyumlaştırılacak olan mevzuatın düzenleyici etki analizi çalışmalarının yapılması,</w:t>
      </w:r>
    </w:p>
    <w:p w:rsidR="00E657E2" w:rsidRDefault="00E657E2" w:rsidP="00E657E2">
      <w:pPr>
        <w:pStyle w:val="ListeParagraf"/>
        <w:numPr>
          <w:ilvl w:val="0"/>
          <w:numId w:val="12"/>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Eğiticilerin eğitimi çalışmaları düzenlenecektir.</w:t>
      </w:r>
    </w:p>
    <w:p w:rsidR="00260199" w:rsidRDefault="00260199" w:rsidP="00260199">
      <w:pPr>
        <w:autoSpaceDE w:val="0"/>
        <w:autoSpaceDN w:val="0"/>
        <w:adjustRightInd w:val="0"/>
        <w:spacing w:after="0"/>
        <w:jc w:val="both"/>
        <w:rPr>
          <w:rFonts w:ascii="Times New Roman" w:hAnsi="Times New Roman" w:cs="Times New Roman"/>
          <w:noProof w:val="0"/>
          <w:sz w:val="24"/>
          <w:szCs w:val="24"/>
        </w:rPr>
      </w:pPr>
    </w:p>
    <w:p w:rsidR="00260199" w:rsidRDefault="001C6BDB" w:rsidP="00260199">
      <w:pPr>
        <w:pStyle w:val="GvdeMetni"/>
        <w:rPr>
          <w:b/>
          <w:color w:val="auto"/>
          <w:sz w:val="28"/>
          <w:szCs w:val="28"/>
        </w:rPr>
      </w:pPr>
      <w:r>
        <w:rPr>
          <w:b/>
          <w:color w:val="auto"/>
          <w:sz w:val="28"/>
          <w:szCs w:val="28"/>
        </w:rPr>
        <w:t xml:space="preserve">14- </w:t>
      </w:r>
      <w:r w:rsidR="00260199" w:rsidRPr="00260199">
        <w:rPr>
          <w:b/>
          <w:color w:val="auto"/>
          <w:sz w:val="28"/>
          <w:szCs w:val="28"/>
        </w:rPr>
        <w:t>AB’</w:t>
      </w:r>
      <w:r w:rsidR="00260199">
        <w:rPr>
          <w:b/>
          <w:color w:val="auto"/>
          <w:sz w:val="28"/>
          <w:szCs w:val="28"/>
        </w:rPr>
        <w:t>nin</w:t>
      </w:r>
      <w:r w:rsidR="00260199" w:rsidRPr="00260199">
        <w:rPr>
          <w:b/>
          <w:color w:val="auto"/>
          <w:sz w:val="28"/>
          <w:szCs w:val="28"/>
        </w:rPr>
        <w:t xml:space="preserve"> H</w:t>
      </w:r>
      <w:r w:rsidR="00260199">
        <w:rPr>
          <w:b/>
          <w:color w:val="auto"/>
          <w:sz w:val="28"/>
          <w:szCs w:val="28"/>
        </w:rPr>
        <w:t>ava</w:t>
      </w:r>
      <w:r w:rsidR="00260199" w:rsidRPr="00260199">
        <w:rPr>
          <w:b/>
          <w:color w:val="auto"/>
          <w:sz w:val="28"/>
          <w:szCs w:val="28"/>
        </w:rPr>
        <w:t xml:space="preserve"> K</w:t>
      </w:r>
      <w:r w:rsidR="00260199">
        <w:rPr>
          <w:b/>
          <w:color w:val="auto"/>
          <w:sz w:val="28"/>
          <w:szCs w:val="28"/>
        </w:rPr>
        <w:t>alitesi</w:t>
      </w:r>
      <w:r w:rsidR="00260199" w:rsidRPr="00260199">
        <w:rPr>
          <w:b/>
          <w:color w:val="auto"/>
          <w:sz w:val="28"/>
          <w:szCs w:val="28"/>
        </w:rPr>
        <w:t xml:space="preserve"> M</w:t>
      </w:r>
      <w:r w:rsidR="00260199">
        <w:rPr>
          <w:b/>
          <w:color w:val="auto"/>
          <w:sz w:val="28"/>
          <w:szCs w:val="28"/>
        </w:rPr>
        <w:t>evzuatı</w:t>
      </w:r>
      <w:r w:rsidR="00260199" w:rsidRPr="00260199">
        <w:rPr>
          <w:b/>
          <w:color w:val="auto"/>
          <w:sz w:val="28"/>
          <w:szCs w:val="28"/>
        </w:rPr>
        <w:t xml:space="preserve"> ve </w:t>
      </w:r>
      <w:proofErr w:type="gramStart"/>
      <w:r w:rsidR="00260199" w:rsidRPr="00260199">
        <w:rPr>
          <w:b/>
          <w:color w:val="auto"/>
          <w:sz w:val="28"/>
          <w:szCs w:val="28"/>
        </w:rPr>
        <w:t>T</w:t>
      </w:r>
      <w:r w:rsidR="00260199">
        <w:rPr>
          <w:b/>
          <w:color w:val="auto"/>
          <w:sz w:val="28"/>
          <w:szCs w:val="28"/>
        </w:rPr>
        <w:t>ürkiye’nin</w:t>
      </w:r>
      <w:proofErr w:type="gramEnd"/>
      <w:r w:rsidR="00260199" w:rsidRPr="00260199">
        <w:rPr>
          <w:b/>
          <w:color w:val="auto"/>
          <w:sz w:val="28"/>
          <w:szCs w:val="28"/>
        </w:rPr>
        <w:t xml:space="preserve"> M</w:t>
      </w:r>
      <w:r w:rsidR="00260199">
        <w:rPr>
          <w:b/>
          <w:color w:val="auto"/>
          <w:sz w:val="28"/>
          <w:szCs w:val="28"/>
        </w:rPr>
        <w:t>evzuata</w:t>
      </w:r>
      <w:r w:rsidR="00260199" w:rsidRPr="00260199">
        <w:rPr>
          <w:b/>
          <w:color w:val="auto"/>
          <w:sz w:val="28"/>
          <w:szCs w:val="28"/>
        </w:rPr>
        <w:t xml:space="preserve"> U</w:t>
      </w:r>
      <w:r w:rsidR="00260199">
        <w:rPr>
          <w:b/>
          <w:color w:val="auto"/>
          <w:sz w:val="28"/>
          <w:szCs w:val="28"/>
        </w:rPr>
        <w:t xml:space="preserve">yum </w:t>
      </w:r>
      <w:r w:rsidR="00260199" w:rsidRPr="00260199">
        <w:rPr>
          <w:b/>
          <w:color w:val="auto"/>
          <w:sz w:val="28"/>
          <w:szCs w:val="28"/>
        </w:rPr>
        <w:t>D</w:t>
      </w:r>
      <w:r w:rsidR="00260199">
        <w:rPr>
          <w:b/>
          <w:color w:val="auto"/>
          <w:sz w:val="28"/>
          <w:szCs w:val="28"/>
        </w:rPr>
        <w:t>urumu</w:t>
      </w:r>
    </w:p>
    <w:p w:rsidR="00260199" w:rsidRPr="00260199" w:rsidRDefault="00260199" w:rsidP="00260199">
      <w:pPr>
        <w:spacing w:after="0"/>
        <w:rPr>
          <w:rFonts w:ascii="Times New Roman" w:hAnsi="Times New Roman"/>
          <w:sz w:val="24"/>
          <w:szCs w:val="24"/>
        </w:rPr>
      </w:pPr>
    </w:p>
    <w:p w:rsidR="00260199" w:rsidRDefault="00260199" w:rsidP="00260199">
      <w:pPr>
        <w:spacing w:after="0"/>
        <w:rPr>
          <w:rFonts w:ascii="Times New Roman" w:hAnsi="Times New Roman"/>
          <w:sz w:val="24"/>
          <w:szCs w:val="24"/>
        </w:rPr>
      </w:pPr>
      <w:r w:rsidRPr="00260199">
        <w:rPr>
          <w:rFonts w:ascii="Times New Roman" w:hAnsi="Times New Roman"/>
          <w:sz w:val="24"/>
          <w:szCs w:val="24"/>
        </w:rPr>
        <w:t xml:space="preserve">Hava kirliliğinin kontrolüne yönelik AB mevzuatı 29 hukuksal belgeye dayanmaktadır. Bu belgeler, bir çekirdek mevzuat, 16 direktif, 7 karar metni ve 6 tüzüğü kapsamaktadır. Konu itibarıyla sınıflandırmak gerekirse 5 başlık altında toplanbilir: </w:t>
      </w:r>
    </w:p>
    <w:p w:rsidR="00260199" w:rsidRPr="00260199" w:rsidRDefault="00260199" w:rsidP="00260199">
      <w:pPr>
        <w:spacing w:after="0"/>
        <w:rPr>
          <w:rFonts w:ascii="Times New Roman" w:hAnsi="Times New Roman"/>
          <w:sz w:val="24"/>
          <w:szCs w:val="24"/>
        </w:rPr>
      </w:pPr>
    </w:p>
    <w:p w:rsidR="00260199" w:rsidRPr="00260199" w:rsidRDefault="00260199" w:rsidP="00260199">
      <w:pPr>
        <w:pStyle w:val="Pa18"/>
        <w:numPr>
          <w:ilvl w:val="0"/>
          <w:numId w:val="13"/>
        </w:numPr>
        <w:spacing w:after="80"/>
        <w:ind w:firstLine="567"/>
        <w:jc w:val="both"/>
        <w:rPr>
          <w:rFonts w:ascii="Times New Roman" w:hAnsi="Times New Roman" w:cs="Times New Roman"/>
        </w:rPr>
      </w:pPr>
      <w:r w:rsidRPr="00260199">
        <w:rPr>
          <w:rFonts w:ascii="Times New Roman" w:hAnsi="Times New Roman" w:cs="Times New Roman"/>
        </w:rPr>
        <w:t>Ortam havası</w:t>
      </w:r>
    </w:p>
    <w:p w:rsidR="00260199" w:rsidRPr="00260199" w:rsidRDefault="00260199" w:rsidP="00260199">
      <w:pPr>
        <w:pStyle w:val="Pa18"/>
        <w:numPr>
          <w:ilvl w:val="0"/>
          <w:numId w:val="13"/>
        </w:numPr>
        <w:spacing w:after="80"/>
        <w:ind w:firstLine="567"/>
        <w:jc w:val="both"/>
        <w:rPr>
          <w:rFonts w:ascii="Times New Roman" w:hAnsi="Times New Roman" w:cs="Times New Roman"/>
        </w:rPr>
      </w:pPr>
      <w:r w:rsidRPr="00260199">
        <w:rPr>
          <w:rFonts w:ascii="Times New Roman" w:hAnsi="Times New Roman" w:cs="Times New Roman"/>
        </w:rPr>
        <w:t>Yakıt kalitesi</w:t>
      </w:r>
    </w:p>
    <w:p w:rsidR="00260199" w:rsidRPr="00260199" w:rsidRDefault="00260199" w:rsidP="00260199">
      <w:pPr>
        <w:pStyle w:val="Pa18"/>
        <w:numPr>
          <w:ilvl w:val="0"/>
          <w:numId w:val="13"/>
        </w:numPr>
        <w:spacing w:after="80"/>
        <w:ind w:firstLine="567"/>
        <w:jc w:val="both"/>
        <w:rPr>
          <w:rFonts w:ascii="Times New Roman" w:hAnsi="Times New Roman" w:cs="Times New Roman"/>
        </w:rPr>
      </w:pPr>
      <w:r w:rsidRPr="00260199">
        <w:rPr>
          <w:rFonts w:ascii="Times New Roman" w:hAnsi="Times New Roman" w:cs="Times New Roman"/>
        </w:rPr>
        <w:t xml:space="preserve">Otomobil egzozları ve tipi için onay </w:t>
      </w:r>
    </w:p>
    <w:p w:rsidR="00260199" w:rsidRPr="00260199" w:rsidRDefault="00260199" w:rsidP="00260199">
      <w:pPr>
        <w:pStyle w:val="Pa18"/>
        <w:numPr>
          <w:ilvl w:val="0"/>
          <w:numId w:val="13"/>
        </w:numPr>
        <w:spacing w:after="80"/>
        <w:ind w:firstLine="567"/>
        <w:jc w:val="both"/>
        <w:rPr>
          <w:rFonts w:ascii="Times New Roman" w:hAnsi="Times New Roman" w:cs="Times New Roman"/>
        </w:rPr>
      </w:pPr>
      <w:r w:rsidRPr="00260199">
        <w:rPr>
          <w:rFonts w:ascii="Times New Roman" w:hAnsi="Times New Roman" w:cs="Times New Roman"/>
        </w:rPr>
        <w:t>Sera gazları ve bu gazların ticari şeması</w:t>
      </w:r>
    </w:p>
    <w:p w:rsidR="00260199" w:rsidRPr="00260199" w:rsidRDefault="00260199" w:rsidP="00260199">
      <w:pPr>
        <w:pStyle w:val="ListeParagraf"/>
        <w:numPr>
          <w:ilvl w:val="0"/>
          <w:numId w:val="13"/>
        </w:numPr>
        <w:autoSpaceDE w:val="0"/>
        <w:autoSpaceDN w:val="0"/>
        <w:adjustRightInd w:val="0"/>
        <w:spacing w:after="0"/>
        <w:ind w:firstLine="567"/>
        <w:jc w:val="both"/>
        <w:rPr>
          <w:rFonts w:ascii="Times New Roman" w:hAnsi="Times New Roman" w:cs="Times New Roman"/>
          <w:color w:val="000000"/>
          <w:sz w:val="24"/>
          <w:szCs w:val="24"/>
        </w:rPr>
      </w:pPr>
      <w:r w:rsidRPr="00260199">
        <w:rPr>
          <w:rFonts w:ascii="Times New Roman" w:hAnsi="Times New Roman" w:cs="Times New Roman"/>
          <w:sz w:val="24"/>
          <w:szCs w:val="24"/>
        </w:rPr>
        <w:t>Uçucu Organik Bileşikler (VOC) salınımı.</w:t>
      </w:r>
    </w:p>
    <w:p w:rsidR="00260199" w:rsidRPr="00260199" w:rsidRDefault="00260199" w:rsidP="00260199">
      <w:pPr>
        <w:autoSpaceDE w:val="0"/>
        <w:autoSpaceDN w:val="0"/>
        <w:adjustRightInd w:val="0"/>
        <w:spacing w:before="240"/>
        <w:jc w:val="both"/>
        <w:rPr>
          <w:rFonts w:ascii="Times New Roman" w:hAnsi="Times New Roman" w:cs="Times New Roman"/>
          <w:color w:val="000000"/>
          <w:sz w:val="24"/>
          <w:szCs w:val="24"/>
        </w:rPr>
      </w:pPr>
      <w:r w:rsidRPr="00260199">
        <w:rPr>
          <w:rFonts w:ascii="Times New Roman" w:hAnsi="Times New Roman" w:cs="Times New Roman"/>
          <w:color w:val="000000"/>
          <w:sz w:val="24"/>
          <w:szCs w:val="24"/>
        </w:rPr>
        <w:t xml:space="preserve">Avrupa Birliği’nin hava kalitesi mevzuatı, havadaki belirli kirleticilerin seviyelerinin sınırlanmasına yöneliktir. Böylece sürdürülebilir bir hava kalitesi düzeyine ulaşılmasını hedeflemektedir. Bu kapsamda, belirli tehlikeli maddelerin kısıtlanması, sera gazı izleme mekanizmaları ve emisyon ticaret sistemi; otomotiv sektörü ve yakıtlardan kaynaklanan kirleticilerin ve organik çözücü bileşen salınımlarının azaltılması gibi bir dizi düzenlemeyi içermektedir.  </w:t>
      </w:r>
    </w:p>
    <w:p w:rsidR="00260199" w:rsidRPr="00260199" w:rsidRDefault="00260199" w:rsidP="00260199">
      <w:pPr>
        <w:autoSpaceDE w:val="0"/>
        <w:autoSpaceDN w:val="0"/>
        <w:adjustRightInd w:val="0"/>
        <w:rPr>
          <w:rFonts w:ascii="Times New Roman" w:hAnsi="Times New Roman" w:cs="Times New Roman"/>
          <w:sz w:val="24"/>
          <w:szCs w:val="24"/>
        </w:rPr>
      </w:pPr>
      <w:r w:rsidRPr="00260199">
        <w:rPr>
          <w:rFonts w:ascii="Times New Roman" w:hAnsi="Times New Roman" w:cs="Times New Roman"/>
          <w:sz w:val="24"/>
          <w:szCs w:val="24"/>
        </w:rPr>
        <w:t xml:space="preserve">Avrupa Birliği’nde hava kalitesi yönetimi; </w:t>
      </w:r>
      <w:r w:rsidRPr="00E958C8">
        <w:rPr>
          <w:rFonts w:ascii="Times New Roman" w:hAnsi="Times New Roman" w:cs="Times New Roman"/>
          <w:b/>
          <w:sz w:val="24"/>
          <w:szCs w:val="24"/>
        </w:rPr>
        <w:t>96/62/EC sayılı Hava kalitesi Çerçeve Direktifi</w:t>
      </w:r>
      <w:r w:rsidRPr="00260199">
        <w:rPr>
          <w:rFonts w:ascii="Times New Roman" w:hAnsi="Times New Roman" w:cs="Times New Roman"/>
          <w:sz w:val="24"/>
          <w:szCs w:val="24"/>
        </w:rPr>
        <w:t xml:space="preserve"> ve dört </w:t>
      </w:r>
      <w:r w:rsidR="00E958C8">
        <w:rPr>
          <w:rFonts w:ascii="Times New Roman" w:hAnsi="Times New Roman" w:cs="Times New Roman"/>
          <w:sz w:val="24"/>
          <w:szCs w:val="24"/>
        </w:rPr>
        <w:t>yan</w:t>
      </w:r>
      <w:r w:rsidRPr="00260199">
        <w:rPr>
          <w:rFonts w:ascii="Times New Roman" w:hAnsi="Times New Roman" w:cs="Times New Roman"/>
          <w:sz w:val="24"/>
          <w:szCs w:val="24"/>
        </w:rPr>
        <w:t xml:space="preserve"> direktif ile (99/30/EC, 2000/69/EC, 2002/3/EC ve 2004/107/EC sayılı) sağlanmaktadır . </w:t>
      </w:r>
      <w:r w:rsidRPr="00260199">
        <w:rPr>
          <w:rFonts w:ascii="Times New Roman" w:hAnsi="Times New Roman" w:cs="Times New Roman"/>
          <w:bCs/>
          <w:sz w:val="24"/>
          <w:szCs w:val="24"/>
        </w:rPr>
        <w:t>Hava kalitesi Çerçeve Direktifi,</w:t>
      </w:r>
      <w:r w:rsidRPr="00260199">
        <w:rPr>
          <w:rFonts w:ascii="Times New Roman" w:hAnsi="Times New Roman" w:cs="Times New Roman"/>
          <w:b/>
          <w:bCs/>
          <w:sz w:val="24"/>
          <w:szCs w:val="24"/>
        </w:rPr>
        <w:t xml:space="preserve"> </w:t>
      </w:r>
      <w:r w:rsidRPr="00260199">
        <w:rPr>
          <w:rFonts w:ascii="Times New Roman" w:hAnsi="Times New Roman" w:cs="Times New Roman"/>
          <w:sz w:val="24"/>
          <w:szCs w:val="24"/>
        </w:rPr>
        <w:t xml:space="preserve">uzun vadeli hava kalitesi hedefleri koyarak AB bütününde genel bir strateji oluşturmaktadır. </w:t>
      </w:r>
    </w:p>
    <w:p w:rsidR="00260199" w:rsidRPr="00260199" w:rsidRDefault="00260199" w:rsidP="00260199">
      <w:pPr>
        <w:autoSpaceDE w:val="0"/>
        <w:autoSpaceDN w:val="0"/>
        <w:adjustRightInd w:val="0"/>
        <w:spacing w:after="0"/>
        <w:jc w:val="both"/>
        <w:rPr>
          <w:rFonts w:ascii="Times New Roman" w:hAnsi="Times New Roman" w:cs="Times New Roman"/>
          <w:color w:val="000000"/>
          <w:sz w:val="24"/>
          <w:szCs w:val="24"/>
        </w:rPr>
      </w:pPr>
      <w:r w:rsidRPr="00260199">
        <w:rPr>
          <w:rFonts w:ascii="Times New Roman" w:hAnsi="Times New Roman" w:cs="Times New Roman"/>
          <w:sz w:val="24"/>
          <w:szCs w:val="24"/>
        </w:rPr>
        <w:t>Tüm AB’de düzenli olarak yönetilecek 13 hava kirleticisi belirlenmiştir (</w:t>
      </w:r>
      <w:r w:rsidRPr="00260199">
        <w:rPr>
          <w:rFonts w:ascii="Times New Roman" w:hAnsi="Times New Roman" w:cs="Times New Roman"/>
          <w:bCs/>
          <w:sz w:val="24"/>
          <w:szCs w:val="24"/>
        </w:rPr>
        <w:t>SO</w:t>
      </w:r>
      <w:r w:rsidRPr="00260199">
        <w:rPr>
          <w:rFonts w:ascii="Times New Roman" w:hAnsi="Times New Roman" w:cs="Times New Roman"/>
          <w:bCs/>
          <w:sz w:val="24"/>
          <w:szCs w:val="24"/>
          <w:vertAlign w:val="subscript"/>
        </w:rPr>
        <w:t>2</w:t>
      </w:r>
      <w:r w:rsidRPr="00260199">
        <w:rPr>
          <w:rFonts w:ascii="Times New Roman" w:hAnsi="Times New Roman" w:cs="Times New Roman"/>
          <w:bCs/>
          <w:sz w:val="24"/>
          <w:szCs w:val="24"/>
        </w:rPr>
        <w:t>, NO</w:t>
      </w:r>
      <w:r w:rsidRPr="00260199">
        <w:rPr>
          <w:rFonts w:ascii="Times New Roman" w:hAnsi="Times New Roman" w:cs="Times New Roman"/>
          <w:bCs/>
          <w:sz w:val="24"/>
          <w:szCs w:val="24"/>
          <w:vertAlign w:val="subscript"/>
        </w:rPr>
        <w:t>2</w:t>
      </w:r>
      <w:r w:rsidRPr="00260199">
        <w:rPr>
          <w:rFonts w:ascii="Times New Roman" w:hAnsi="Times New Roman" w:cs="Times New Roman"/>
          <w:bCs/>
          <w:sz w:val="24"/>
          <w:szCs w:val="24"/>
        </w:rPr>
        <w:t>, Partikül madde (PM</w:t>
      </w:r>
      <w:r w:rsidRPr="00260199">
        <w:rPr>
          <w:rFonts w:ascii="Times New Roman" w:hAnsi="Times New Roman" w:cs="Times New Roman"/>
          <w:bCs/>
          <w:sz w:val="24"/>
          <w:szCs w:val="24"/>
          <w:vertAlign w:val="subscript"/>
        </w:rPr>
        <w:t>10</w:t>
      </w:r>
      <w:r w:rsidRPr="00260199">
        <w:rPr>
          <w:rFonts w:ascii="Times New Roman" w:hAnsi="Times New Roman" w:cs="Times New Roman"/>
          <w:bCs/>
          <w:sz w:val="24"/>
          <w:szCs w:val="24"/>
        </w:rPr>
        <w:t>, PM</w:t>
      </w:r>
      <w:r w:rsidRPr="00260199">
        <w:rPr>
          <w:rFonts w:ascii="Times New Roman" w:hAnsi="Times New Roman" w:cs="Times New Roman"/>
          <w:bCs/>
          <w:sz w:val="24"/>
          <w:szCs w:val="24"/>
          <w:vertAlign w:val="subscript"/>
        </w:rPr>
        <w:t>2.5</w:t>
      </w:r>
      <w:r w:rsidRPr="00260199">
        <w:rPr>
          <w:rFonts w:ascii="Times New Roman" w:hAnsi="Times New Roman" w:cs="Times New Roman"/>
          <w:bCs/>
          <w:sz w:val="24"/>
          <w:szCs w:val="24"/>
        </w:rPr>
        <w:t>), Pb, O</w:t>
      </w:r>
      <w:r w:rsidRPr="00260199">
        <w:rPr>
          <w:rFonts w:ascii="Times New Roman" w:hAnsi="Times New Roman" w:cs="Times New Roman"/>
          <w:bCs/>
          <w:sz w:val="24"/>
          <w:szCs w:val="24"/>
          <w:vertAlign w:val="subscript"/>
        </w:rPr>
        <w:t>3</w:t>
      </w:r>
      <w:r w:rsidRPr="00260199">
        <w:rPr>
          <w:rFonts w:ascii="Times New Roman" w:hAnsi="Times New Roman" w:cs="Times New Roman"/>
          <w:bCs/>
          <w:sz w:val="24"/>
          <w:szCs w:val="24"/>
        </w:rPr>
        <w:t xml:space="preserve">, benzen, CO, PAH, Cd, As, Ni, Hg). </w:t>
      </w:r>
      <w:r w:rsidRPr="00260199">
        <w:rPr>
          <w:rFonts w:ascii="Times New Roman" w:hAnsi="Times New Roman" w:cs="Times New Roman"/>
          <w:sz w:val="24"/>
          <w:szCs w:val="24"/>
        </w:rPr>
        <w:t>Direktif, kirletici düzeyinin sınır değerleri aştığı bölgeler i</w:t>
      </w:r>
      <w:r w:rsidR="00AC3196">
        <w:rPr>
          <w:rFonts w:ascii="Times New Roman" w:hAnsi="Times New Roman" w:cs="Times New Roman"/>
          <w:sz w:val="24"/>
          <w:szCs w:val="24"/>
        </w:rPr>
        <w:t>ç</w:t>
      </w:r>
      <w:r w:rsidRPr="00260199">
        <w:rPr>
          <w:rFonts w:ascii="Times New Roman" w:hAnsi="Times New Roman" w:cs="Times New Roman"/>
          <w:sz w:val="24"/>
          <w:szCs w:val="24"/>
        </w:rPr>
        <w:t>in (eylem planları çerçevesinde) hava kalitesi planları oluşturulması ve ek önlemler alınmasını şart koşmaktadır. Gerekli durumlarda, sınır değerlerin aşılmasına katkı sağlayan trafiğin, inşaat çalışmalarının, endüstriyel tesislerin faaliyetlerinin kontrolü ve askıya alınması gibi önleyici önlemlerin alınmasına olanak</w:t>
      </w:r>
      <w:r w:rsidRPr="00260199">
        <w:rPr>
          <w:rFonts w:ascii="Times New Roman" w:hAnsi="Times New Roman" w:cs="Times New Roman"/>
          <w:color w:val="000000"/>
          <w:sz w:val="24"/>
          <w:szCs w:val="24"/>
        </w:rPr>
        <w:t xml:space="preserve"> tanımaktadır. Sülfür dioksit (SO</w:t>
      </w:r>
      <w:r w:rsidRPr="00260199">
        <w:rPr>
          <w:rFonts w:ascii="Times New Roman" w:hAnsi="Times New Roman" w:cs="Times New Roman"/>
          <w:color w:val="000000"/>
          <w:sz w:val="24"/>
          <w:szCs w:val="24"/>
          <w:vertAlign w:val="subscript"/>
        </w:rPr>
        <w:t>2</w:t>
      </w:r>
      <w:r w:rsidRPr="00260199">
        <w:rPr>
          <w:rFonts w:ascii="Times New Roman" w:hAnsi="Times New Roman" w:cs="Times New Roman"/>
          <w:color w:val="000000"/>
          <w:sz w:val="24"/>
          <w:szCs w:val="24"/>
        </w:rPr>
        <w:t>), nitrojen oksit (No</w:t>
      </w:r>
      <w:r w:rsidRPr="00260199">
        <w:rPr>
          <w:rFonts w:ascii="Times New Roman" w:hAnsi="Times New Roman" w:cs="Times New Roman"/>
          <w:color w:val="000000"/>
          <w:sz w:val="24"/>
          <w:szCs w:val="24"/>
          <w:vertAlign w:val="subscript"/>
        </w:rPr>
        <w:t>x</w:t>
      </w:r>
      <w:r w:rsidRPr="00260199">
        <w:rPr>
          <w:rFonts w:ascii="Times New Roman" w:hAnsi="Times New Roman" w:cs="Times New Roman"/>
          <w:color w:val="000000"/>
          <w:sz w:val="24"/>
          <w:szCs w:val="24"/>
        </w:rPr>
        <w:t>), amonyak (NH</w:t>
      </w:r>
      <w:r w:rsidRPr="00260199">
        <w:rPr>
          <w:rFonts w:ascii="Times New Roman" w:hAnsi="Times New Roman" w:cs="Times New Roman"/>
          <w:color w:val="000000"/>
          <w:sz w:val="24"/>
          <w:szCs w:val="24"/>
          <w:vertAlign w:val="subscript"/>
        </w:rPr>
        <w:t>3</w:t>
      </w:r>
      <w:r w:rsidRPr="00260199">
        <w:rPr>
          <w:rFonts w:ascii="Times New Roman" w:hAnsi="Times New Roman" w:cs="Times New Roman"/>
          <w:color w:val="000000"/>
          <w:sz w:val="24"/>
          <w:szCs w:val="24"/>
        </w:rPr>
        <w:t xml:space="preserve">) ve organik çözücü </w:t>
      </w:r>
      <w:r w:rsidRPr="00260199">
        <w:rPr>
          <w:rFonts w:ascii="Times New Roman" w:hAnsi="Times New Roman" w:cs="Times New Roman"/>
          <w:color w:val="000000"/>
          <w:sz w:val="24"/>
          <w:szCs w:val="24"/>
        </w:rPr>
        <w:lastRenderedPageBreak/>
        <w:t>bileşenleri (VOC) kapsayan düzenlemeler, bu kirleticilerin ortaya çıkmasına neden olan endüstrileri de yakından ilgilendirmektedir.</w:t>
      </w:r>
    </w:p>
    <w:p w:rsidR="00260199" w:rsidRPr="00260199" w:rsidRDefault="00260199" w:rsidP="00260199">
      <w:pPr>
        <w:autoSpaceDE w:val="0"/>
        <w:autoSpaceDN w:val="0"/>
        <w:adjustRightInd w:val="0"/>
        <w:spacing w:before="240" w:after="0"/>
        <w:jc w:val="both"/>
        <w:rPr>
          <w:rFonts w:ascii="Times New Roman" w:hAnsi="Times New Roman" w:cs="Times New Roman"/>
          <w:color w:val="000000"/>
          <w:sz w:val="24"/>
          <w:szCs w:val="24"/>
        </w:rPr>
      </w:pPr>
      <w:r w:rsidRPr="00260199">
        <w:rPr>
          <w:rFonts w:ascii="Times New Roman" w:hAnsi="Times New Roman" w:cs="Times New Roman"/>
          <w:color w:val="000000"/>
          <w:sz w:val="24"/>
          <w:szCs w:val="24"/>
        </w:rPr>
        <w:t xml:space="preserve">Direktif kapsamında yer alan kirleticilerin havadaki konsantrasyonu hakkında, kamuoyununun düzenli bilgilendirilmesi, yıllık raporlar yayımlanması ve mevzuat hükümlerinin ihlali halinde etkin cezalar uygulamaları gerekmektedir. Düzenlemenin ekinde, asitleşme, ötrofikasyon ve yer seviyesi ozon kirliliğinin azaltılması için her Üye Ülkenin, uymakla yükümlü olduğu yıllık emisyon üst sınır değerleri yer almaktadır. </w:t>
      </w:r>
    </w:p>
    <w:p w:rsidR="00260199" w:rsidRPr="00260199" w:rsidRDefault="00260199" w:rsidP="00260199">
      <w:pPr>
        <w:autoSpaceDE w:val="0"/>
        <w:autoSpaceDN w:val="0"/>
        <w:adjustRightInd w:val="0"/>
        <w:spacing w:before="240" w:after="0"/>
        <w:ind w:firstLine="567"/>
        <w:jc w:val="both"/>
        <w:rPr>
          <w:rFonts w:ascii="Times New Roman" w:hAnsi="Times New Roman" w:cs="Times New Roman"/>
          <w:color w:val="000000"/>
          <w:sz w:val="24"/>
          <w:szCs w:val="24"/>
        </w:rPr>
      </w:pPr>
      <w:r w:rsidRPr="00260199">
        <w:rPr>
          <w:rFonts w:ascii="Times New Roman" w:hAnsi="Times New Roman" w:cs="Times New Roman"/>
          <w:color w:val="000000"/>
          <w:sz w:val="24"/>
          <w:szCs w:val="24"/>
        </w:rPr>
        <w:t>Hava kalitesi ile ilgili mevzuat aşağıdaki şemada gösterilmiştir:</w:t>
      </w:r>
    </w:p>
    <w:p w:rsidR="00260199" w:rsidRDefault="00260199" w:rsidP="00260199">
      <w:pPr>
        <w:autoSpaceDE w:val="0"/>
        <w:autoSpaceDN w:val="0"/>
        <w:adjustRightInd w:val="0"/>
        <w:spacing w:after="0"/>
        <w:jc w:val="both"/>
        <w:rPr>
          <w:rFonts w:ascii="Times New Roman" w:hAnsi="Times New Roman" w:cs="Times New Roman"/>
          <w:noProof w:val="0"/>
          <w:sz w:val="24"/>
          <w:szCs w:val="24"/>
        </w:rPr>
      </w:pPr>
      <w:r>
        <w:rPr>
          <w:rFonts w:ascii="Times New Roman" w:hAnsi="Times New Roman" w:cs="Times New Roman"/>
          <w:sz w:val="24"/>
          <w:szCs w:val="24"/>
          <w:lang w:eastAsia="tr-TR"/>
        </w:rPr>
        <w:drawing>
          <wp:anchor distT="0" distB="0" distL="114300" distR="114300" simplePos="0" relativeHeight="251659264" behindDoc="1" locked="0" layoutInCell="1" allowOverlap="1">
            <wp:simplePos x="0" y="0"/>
            <wp:positionH relativeFrom="column">
              <wp:posOffset>81280</wp:posOffset>
            </wp:positionH>
            <wp:positionV relativeFrom="paragraph">
              <wp:posOffset>154940</wp:posOffset>
            </wp:positionV>
            <wp:extent cx="5082540" cy="2809875"/>
            <wp:effectExtent l="19050" t="0" r="3810" b="0"/>
            <wp:wrapTight wrapText="bothSides">
              <wp:wrapPolygon edited="0">
                <wp:start x="-81" y="0"/>
                <wp:lineTo x="-81" y="21527"/>
                <wp:lineTo x="21616" y="21527"/>
                <wp:lineTo x="21616" y="0"/>
                <wp:lineTo x="-81" y="0"/>
              </wp:wrapPolygon>
            </wp:wrapTight>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7" cstate="print"/>
                    <a:srcRect l="15463" t="29791" r="8978" b="18060"/>
                    <a:stretch>
                      <a:fillRect/>
                    </a:stretch>
                  </pic:blipFill>
                  <pic:spPr bwMode="auto">
                    <a:xfrm>
                      <a:off x="0" y="0"/>
                      <a:ext cx="5082540" cy="2809875"/>
                    </a:xfrm>
                    <a:prstGeom prst="rect">
                      <a:avLst/>
                    </a:prstGeom>
                    <a:noFill/>
                    <a:ln w="9525">
                      <a:noFill/>
                      <a:miter lim="800000"/>
                      <a:headEnd/>
                      <a:tailEnd/>
                    </a:ln>
                  </pic:spPr>
                </pic:pic>
              </a:graphicData>
            </a:graphic>
          </wp:anchor>
        </w:drawing>
      </w:r>
    </w:p>
    <w:p w:rsidR="00260199" w:rsidRDefault="00260199" w:rsidP="00260199">
      <w:pPr>
        <w:autoSpaceDE w:val="0"/>
        <w:autoSpaceDN w:val="0"/>
        <w:adjustRightInd w:val="0"/>
        <w:spacing w:after="0"/>
        <w:jc w:val="both"/>
        <w:rPr>
          <w:rFonts w:ascii="Times New Roman" w:hAnsi="Times New Roman" w:cs="Times New Roman"/>
          <w:noProof w:val="0"/>
          <w:sz w:val="24"/>
          <w:szCs w:val="24"/>
        </w:rPr>
      </w:pPr>
    </w:p>
    <w:p w:rsidR="00260199" w:rsidRDefault="00260199" w:rsidP="00260199">
      <w:pPr>
        <w:autoSpaceDE w:val="0"/>
        <w:autoSpaceDN w:val="0"/>
        <w:adjustRightInd w:val="0"/>
        <w:spacing w:after="0"/>
        <w:jc w:val="both"/>
        <w:rPr>
          <w:rFonts w:ascii="Times New Roman" w:hAnsi="Times New Roman" w:cs="Times New Roman"/>
          <w:noProof w:val="0"/>
          <w:sz w:val="24"/>
          <w:szCs w:val="24"/>
        </w:rPr>
      </w:pPr>
    </w:p>
    <w:p w:rsidR="00260199" w:rsidRDefault="00260199" w:rsidP="00260199">
      <w:pPr>
        <w:autoSpaceDE w:val="0"/>
        <w:autoSpaceDN w:val="0"/>
        <w:adjustRightInd w:val="0"/>
        <w:spacing w:after="0"/>
        <w:jc w:val="both"/>
        <w:rPr>
          <w:rFonts w:ascii="Times New Roman" w:hAnsi="Times New Roman" w:cs="Times New Roman"/>
          <w:noProof w:val="0"/>
          <w:sz w:val="24"/>
          <w:szCs w:val="24"/>
        </w:rPr>
      </w:pPr>
    </w:p>
    <w:p w:rsidR="00260199" w:rsidRDefault="00260199" w:rsidP="00260199">
      <w:pPr>
        <w:autoSpaceDE w:val="0"/>
        <w:autoSpaceDN w:val="0"/>
        <w:adjustRightInd w:val="0"/>
        <w:spacing w:after="0"/>
        <w:jc w:val="both"/>
        <w:rPr>
          <w:rFonts w:ascii="Times New Roman" w:hAnsi="Times New Roman" w:cs="Times New Roman"/>
          <w:noProof w:val="0"/>
          <w:sz w:val="24"/>
          <w:szCs w:val="24"/>
        </w:rPr>
      </w:pPr>
    </w:p>
    <w:p w:rsidR="00260199" w:rsidRDefault="00260199" w:rsidP="00260199">
      <w:pPr>
        <w:autoSpaceDE w:val="0"/>
        <w:autoSpaceDN w:val="0"/>
        <w:adjustRightInd w:val="0"/>
        <w:spacing w:after="0"/>
        <w:jc w:val="both"/>
        <w:rPr>
          <w:rFonts w:ascii="Times New Roman" w:hAnsi="Times New Roman" w:cs="Times New Roman"/>
          <w:noProof w:val="0"/>
          <w:sz w:val="24"/>
          <w:szCs w:val="24"/>
        </w:rPr>
      </w:pPr>
    </w:p>
    <w:p w:rsidR="00260199" w:rsidRDefault="00260199" w:rsidP="00260199">
      <w:pPr>
        <w:autoSpaceDE w:val="0"/>
        <w:autoSpaceDN w:val="0"/>
        <w:adjustRightInd w:val="0"/>
        <w:spacing w:after="0"/>
        <w:jc w:val="both"/>
        <w:rPr>
          <w:rFonts w:ascii="Times New Roman" w:hAnsi="Times New Roman" w:cs="Times New Roman"/>
          <w:noProof w:val="0"/>
          <w:sz w:val="24"/>
          <w:szCs w:val="24"/>
        </w:rPr>
      </w:pPr>
    </w:p>
    <w:p w:rsidR="00260199" w:rsidRDefault="00260199" w:rsidP="00260199">
      <w:pPr>
        <w:autoSpaceDE w:val="0"/>
        <w:autoSpaceDN w:val="0"/>
        <w:adjustRightInd w:val="0"/>
        <w:spacing w:after="0"/>
        <w:jc w:val="both"/>
        <w:rPr>
          <w:rFonts w:ascii="Times New Roman" w:hAnsi="Times New Roman" w:cs="Times New Roman"/>
          <w:noProof w:val="0"/>
          <w:sz w:val="24"/>
          <w:szCs w:val="24"/>
        </w:rPr>
      </w:pPr>
    </w:p>
    <w:p w:rsidR="00260199" w:rsidRDefault="00260199" w:rsidP="00260199">
      <w:pPr>
        <w:autoSpaceDE w:val="0"/>
        <w:autoSpaceDN w:val="0"/>
        <w:adjustRightInd w:val="0"/>
        <w:spacing w:after="0"/>
        <w:jc w:val="both"/>
        <w:rPr>
          <w:rFonts w:ascii="Times New Roman" w:hAnsi="Times New Roman" w:cs="Times New Roman"/>
          <w:noProof w:val="0"/>
          <w:sz w:val="24"/>
          <w:szCs w:val="24"/>
        </w:rPr>
      </w:pPr>
    </w:p>
    <w:p w:rsidR="00260199" w:rsidRDefault="00260199" w:rsidP="00260199">
      <w:pPr>
        <w:autoSpaceDE w:val="0"/>
        <w:autoSpaceDN w:val="0"/>
        <w:adjustRightInd w:val="0"/>
        <w:spacing w:after="0"/>
        <w:jc w:val="both"/>
        <w:rPr>
          <w:rFonts w:ascii="Times New Roman" w:hAnsi="Times New Roman" w:cs="Times New Roman"/>
          <w:noProof w:val="0"/>
          <w:sz w:val="24"/>
          <w:szCs w:val="24"/>
        </w:rPr>
      </w:pPr>
    </w:p>
    <w:p w:rsidR="00260199" w:rsidRDefault="00260199" w:rsidP="00260199">
      <w:pPr>
        <w:autoSpaceDE w:val="0"/>
        <w:autoSpaceDN w:val="0"/>
        <w:adjustRightInd w:val="0"/>
        <w:spacing w:after="0"/>
        <w:jc w:val="both"/>
        <w:rPr>
          <w:rFonts w:ascii="Times New Roman" w:hAnsi="Times New Roman" w:cs="Times New Roman"/>
          <w:noProof w:val="0"/>
          <w:sz w:val="24"/>
          <w:szCs w:val="24"/>
        </w:rPr>
      </w:pPr>
    </w:p>
    <w:p w:rsidR="00260199" w:rsidRDefault="00260199" w:rsidP="00260199">
      <w:pPr>
        <w:autoSpaceDE w:val="0"/>
        <w:autoSpaceDN w:val="0"/>
        <w:adjustRightInd w:val="0"/>
        <w:spacing w:after="0"/>
        <w:jc w:val="both"/>
        <w:rPr>
          <w:rFonts w:ascii="Times New Roman" w:hAnsi="Times New Roman" w:cs="Times New Roman"/>
          <w:noProof w:val="0"/>
          <w:sz w:val="24"/>
          <w:szCs w:val="24"/>
        </w:rPr>
      </w:pPr>
    </w:p>
    <w:p w:rsidR="00260199" w:rsidRDefault="00260199" w:rsidP="00260199">
      <w:pPr>
        <w:autoSpaceDE w:val="0"/>
        <w:autoSpaceDN w:val="0"/>
        <w:adjustRightInd w:val="0"/>
        <w:spacing w:after="0"/>
        <w:jc w:val="both"/>
        <w:rPr>
          <w:rFonts w:ascii="Times New Roman" w:hAnsi="Times New Roman" w:cs="Times New Roman"/>
          <w:noProof w:val="0"/>
          <w:sz w:val="24"/>
          <w:szCs w:val="24"/>
        </w:rPr>
      </w:pPr>
    </w:p>
    <w:p w:rsidR="00260199" w:rsidRDefault="00260199" w:rsidP="00260199">
      <w:pPr>
        <w:autoSpaceDE w:val="0"/>
        <w:autoSpaceDN w:val="0"/>
        <w:adjustRightInd w:val="0"/>
        <w:spacing w:after="0"/>
        <w:jc w:val="both"/>
        <w:rPr>
          <w:rFonts w:ascii="Times New Roman" w:hAnsi="Times New Roman" w:cs="Times New Roman"/>
          <w:noProof w:val="0"/>
          <w:sz w:val="24"/>
          <w:szCs w:val="24"/>
        </w:rPr>
      </w:pPr>
    </w:p>
    <w:p w:rsidR="00260199" w:rsidRDefault="00260199" w:rsidP="00260199">
      <w:pPr>
        <w:rPr>
          <w:rFonts w:ascii="Times New Roman" w:hAnsi="Times New Roman"/>
          <w:b/>
          <w:sz w:val="24"/>
          <w:szCs w:val="24"/>
          <w:lang w:eastAsia="tr-TR"/>
        </w:rPr>
      </w:pPr>
      <w:r>
        <w:rPr>
          <w:rFonts w:ascii="Times New Roman" w:hAnsi="Times New Roman"/>
          <w:b/>
          <w:sz w:val="24"/>
          <w:szCs w:val="24"/>
          <w:lang w:eastAsia="tr-TR"/>
        </w:rPr>
        <w:t xml:space="preserve"> </w:t>
      </w:r>
    </w:p>
    <w:p w:rsidR="00260199" w:rsidRDefault="00260199" w:rsidP="00260199">
      <w:pPr>
        <w:rPr>
          <w:rFonts w:ascii="Times New Roman" w:hAnsi="Times New Roman"/>
          <w:sz w:val="24"/>
          <w:szCs w:val="24"/>
          <w:lang w:eastAsia="tr-TR"/>
        </w:rPr>
      </w:pPr>
      <w:r w:rsidRPr="0020683C">
        <w:rPr>
          <w:rFonts w:ascii="Times New Roman" w:hAnsi="Times New Roman"/>
          <w:b/>
          <w:sz w:val="24"/>
          <w:szCs w:val="24"/>
          <w:lang w:eastAsia="tr-TR"/>
        </w:rPr>
        <w:t xml:space="preserve">Şekil </w:t>
      </w:r>
      <w:r>
        <w:rPr>
          <w:rFonts w:ascii="Times New Roman" w:hAnsi="Times New Roman"/>
          <w:b/>
          <w:sz w:val="24"/>
          <w:szCs w:val="24"/>
          <w:lang w:eastAsia="tr-TR"/>
        </w:rPr>
        <w:t>2</w:t>
      </w:r>
      <w:r w:rsidRPr="0020683C">
        <w:rPr>
          <w:rFonts w:ascii="Times New Roman" w:hAnsi="Times New Roman"/>
          <w:b/>
          <w:sz w:val="24"/>
          <w:szCs w:val="24"/>
          <w:lang w:eastAsia="tr-TR"/>
        </w:rPr>
        <w:t>:</w:t>
      </w:r>
      <w:r>
        <w:rPr>
          <w:rFonts w:ascii="Times New Roman" w:hAnsi="Times New Roman"/>
          <w:sz w:val="24"/>
          <w:szCs w:val="24"/>
          <w:lang w:eastAsia="tr-TR"/>
        </w:rPr>
        <w:t xml:space="preserve"> Hava Kalitesi Mevzuatı</w:t>
      </w:r>
    </w:p>
    <w:p w:rsidR="00260199" w:rsidRPr="00260199" w:rsidRDefault="00260199" w:rsidP="00260199">
      <w:pPr>
        <w:autoSpaceDE w:val="0"/>
        <w:autoSpaceDN w:val="0"/>
        <w:adjustRightInd w:val="0"/>
        <w:spacing w:before="240"/>
        <w:jc w:val="both"/>
        <w:rPr>
          <w:rFonts w:ascii="Times New Roman" w:hAnsi="Times New Roman" w:cs="Times New Roman"/>
          <w:sz w:val="24"/>
          <w:szCs w:val="24"/>
        </w:rPr>
      </w:pPr>
      <w:r w:rsidRPr="00260199">
        <w:rPr>
          <w:rFonts w:ascii="Times New Roman" w:hAnsi="Times New Roman" w:cs="Times New Roman"/>
          <w:sz w:val="24"/>
          <w:szCs w:val="24"/>
        </w:rPr>
        <w:t xml:space="preserve">Türkiye’de 2008 yılına kadar hava kalitesi ile ilgili mevzuat, 2.11.1986 tarih ve 19269 sayılı Resmi Gazete’de yayımlanarak yürürlüğe giren Hava Kalitesinin Korunması Yönetmeliği (HKKY) idi. AB mevzuatına uyum doğrultusunda, 96/62/EC Hava Kalitesi Çerçeve Direktifi ve Kardeş Direktiflerinin (99/30/EC, 2000/69/EC, 2002/3/EC ve 2004/107/EC) paralelinde hazırlanan Hava Kalitesi Değerlendirme ve Yönetimi (HKDY) Yönetmeliği 06.06.2008 tarihli ve 26898 sayılı Resmi Gazete’de yayımlanarak yürürlüğe girdi ve önceki yönetmeliğin yerini aldı. Böylece Türkiye, hava kalitesi yönetimi anlamında, AB düzenlemelerine uyum sağlamış bulunmaktadır. Bu Yönetmelikte, AB’nin hava kalitesi mevzuatında tanımlanan kirleticiler için kademeli uygulama takvimleri belirlenmiştir.  </w:t>
      </w:r>
    </w:p>
    <w:p w:rsidR="00C528AB" w:rsidRDefault="00260199" w:rsidP="00260199">
      <w:pPr>
        <w:autoSpaceDE w:val="0"/>
        <w:autoSpaceDN w:val="0"/>
        <w:adjustRightInd w:val="0"/>
        <w:spacing w:before="240"/>
        <w:jc w:val="both"/>
        <w:rPr>
          <w:rFonts w:ascii="Times New Roman" w:hAnsi="Times New Roman" w:cs="Times New Roman"/>
          <w:sz w:val="24"/>
          <w:szCs w:val="24"/>
        </w:rPr>
      </w:pPr>
      <w:r w:rsidRPr="00260199">
        <w:rPr>
          <w:rFonts w:ascii="Times New Roman" w:hAnsi="Times New Roman" w:cs="Times New Roman"/>
          <w:sz w:val="24"/>
          <w:szCs w:val="24"/>
        </w:rPr>
        <w:t>AB ile uyumlu bu mevzuat doğrultusunda, hava kirliliğine neden olan kaynaklarda (ısınma, sanayi, trafik) gerekli önlemlerin alınarak hava kalitesinin korunması kapsamında Çevre ve Orman Bakanlığ</w:t>
      </w:r>
      <w:r w:rsidR="008B10ED">
        <w:rPr>
          <w:rFonts w:ascii="Times New Roman" w:hAnsi="Times New Roman" w:cs="Times New Roman"/>
          <w:sz w:val="24"/>
          <w:szCs w:val="24"/>
        </w:rPr>
        <w:t>’</w:t>
      </w:r>
      <w:r w:rsidRPr="00260199">
        <w:rPr>
          <w:rFonts w:ascii="Times New Roman" w:hAnsi="Times New Roman" w:cs="Times New Roman"/>
          <w:sz w:val="24"/>
          <w:szCs w:val="24"/>
        </w:rPr>
        <w:t>ınca (şu anda Çevre ve Şehircilik Bakanlığı) Isınmadan Kaynaklanan Hava Kirliliğinin Kontrolü Yönetmeliği, Sanayi Kaynaklı Hava Kirliliğinin Kontrolü Yönetmeliği ve Egzoz Gazı Emisyonu Kontrolü Yönetmeliği çıkarılmıştır. Ayrıca trafikte seyreden taşıtlarda kullanılan yakıtlar için Benzin ve Motorin Kalitesi Yönetmeliği yayımlanmıştır.</w:t>
      </w:r>
    </w:p>
    <w:p w:rsidR="00194F72" w:rsidRDefault="00194F72" w:rsidP="00260199">
      <w:pPr>
        <w:autoSpaceDE w:val="0"/>
        <w:autoSpaceDN w:val="0"/>
        <w:adjustRightInd w:val="0"/>
        <w:spacing w:before="240"/>
        <w:jc w:val="both"/>
        <w:rPr>
          <w:rFonts w:ascii="Times New Roman" w:hAnsi="Times New Roman" w:cs="Times New Roman"/>
          <w:sz w:val="24"/>
          <w:szCs w:val="24"/>
        </w:rPr>
      </w:pPr>
    </w:p>
    <w:p w:rsidR="00C528AB" w:rsidRPr="008F55D0" w:rsidRDefault="00A23AA1" w:rsidP="00C528AB">
      <w:pPr>
        <w:numPr>
          <w:ilvl w:val="0"/>
          <w:numId w:val="14"/>
        </w:numPr>
        <w:autoSpaceDE w:val="0"/>
        <w:autoSpaceDN w:val="0"/>
        <w:adjustRightInd w:val="0"/>
        <w:spacing w:after="0"/>
        <w:jc w:val="both"/>
        <w:rPr>
          <w:rFonts w:ascii="Arial" w:hAnsi="Arial" w:cs="Arial"/>
          <w:sz w:val="18"/>
          <w:szCs w:val="20"/>
          <w:u w:val="single"/>
        </w:rPr>
      </w:pPr>
      <w:hyperlink r:id="rId18" w:tgtFrame="_blank" w:history="1">
        <w:r w:rsidR="00C528AB" w:rsidRPr="008F55D0">
          <w:rPr>
            <w:rStyle w:val="Kpr"/>
            <w:rFonts w:ascii="Arial" w:hAnsi="Arial" w:cs="Arial"/>
            <w:sz w:val="18"/>
            <w:szCs w:val="20"/>
          </w:rPr>
          <w:t>Hava Kalitesi Değerlendirme ve Yönetimi Yönetmeliği</w:t>
        </w:r>
      </w:hyperlink>
    </w:p>
    <w:p w:rsidR="00C528AB" w:rsidRPr="008F55D0" w:rsidRDefault="00A23AA1" w:rsidP="00C528AB">
      <w:pPr>
        <w:numPr>
          <w:ilvl w:val="0"/>
          <w:numId w:val="14"/>
        </w:numPr>
        <w:autoSpaceDE w:val="0"/>
        <w:autoSpaceDN w:val="0"/>
        <w:adjustRightInd w:val="0"/>
        <w:spacing w:after="0"/>
        <w:jc w:val="both"/>
        <w:rPr>
          <w:rFonts w:ascii="Arial" w:hAnsi="Arial" w:cs="Arial"/>
          <w:sz w:val="18"/>
          <w:szCs w:val="20"/>
          <w:u w:val="single"/>
        </w:rPr>
      </w:pPr>
      <w:hyperlink r:id="rId19" w:tgtFrame="_blank" w:history="1">
        <w:r w:rsidR="00C528AB" w:rsidRPr="008F55D0">
          <w:rPr>
            <w:rStyle w:val="Kpr"/>
            <w:rFonts w:ascii="Arial" w:hAnsi="Arial" w:cs="Arial"/>
            <w:sz w:val="18"/>
            <w:szCs w:val="20"/>
            <w:lang w:val="en-GB"/>
          </w:rPr>
          <w:t>Sanayi Kaynaklı Hava Kirliliğinin Kontrolü Yönetmeliği</w:t>
        </w:r>
      </w:hyperlink>
    </w:p>
    <w:p w:rsidR="00C528AB" w:rsidRPr="008F55D0" w:rsidRDefault="00A23AA1" w:rsidP="00C528AB">
      <w:pPr>
        <w:numPr>
          <w:ilvl w:val="0"/>
          <w:numId w:val="14"/>
        </w:numPr>
        <w:autoSpaceDE w:val="0"/>
        <w:autoSpaceDN w:val="0"/>
        <w:adjustRightInd w:val="0"/>
        <w:spacing w:after="0"/>
        <w:jc w:val="both"/>
        <w:rPr>
          <w:rFonts w:ascii="Arial" w:hAnsi="Arial" w:cs="Arial"/>
          <w:sz w:val="18"/>
          <w:szCs w:val="20"/>
          <w:u w:val="single"/>
        </w:rPr>
      </w:pPr>
      <w:hyperlink r:id="rId20" w:tgtFrame="_blank" w:history="1">
        <w:r w:rsidR="00C528AB" w:rsidRPr="008F55D0">
          <w:rPr>
            <w:rStyle w:val="Kpr"/>
            <w:rFonts w:ascii="Arial" w:hAnsi="Arial" w:cs="Arial"/>
            <w:sz w:val="18"/>
            <w:szCs w:val="20"/>
          </w:rPr>
          <w:t>Isınmadan Kaynaklanan Hava Kirliliğinin Kontrolü Yönetmeliği</w:t>
        </w:r>
      </w:hyperlink>
    </w:p>
    <w:p w:rsidR="00C528AB" w:rsidRPr="008F55D0" w:rsidRDefault="00A23AA1" w:rsidP="00C528AB">
      <w:pPr>
        <w:numPr>
          <w:ilvl w:val="0"/>
          <w:numId w:val="14"/>
        </w:numPr>
        <w:autoSpaceDE w:val="0"/>
        <w:autoSpaceDN w:val="0"/>
        <w:adjustRightInd w:val="0"/>
        <w:spacing w:after="0"/>
        <w:jc w:val="both"/>
        <w:rPr>
          <w:rFonts w:ascii="Arial" w:hAnsi="Arial" w:cs="Arial"/>
          <w:sz w:val="18"/>
          <w:szCs w:val="20"/>
          <w:u w:val="single"/>
        </w:rPr>
      </w:pPr>
      <w:hyperlink r:id="rId21" w:tgtFrame="_blank" w:history="1">
        <w:r w:rsidR="00C528AB" w:rsidRPr="008F55D0">
          <w:rPr>
            <w:rStyle w:val="Kpr"/>
            <w:rFonts w:ascii="Arial" w:hAnsi="Arial" w:cs="Arial"/>
            <w:sz w:val="18"/>
            <w:szCs w:val="20"/>
          </w:rPr>
          <w:t>Isınmadan Kaynak. Hava Kir.Kont.Yönet. Değ. Yapıl. Dair Yön.</w:t>
        </w:r>
      </w:hyperlink>
    </w:p>
    <w:p w:rsidR="00C528AB" w:rsidRPr="008F55D0" w:rsidRDefault="00A23AA1" w:rsidP="00C528AB">
      <w:pPr>
        <w:numPr>
          <w:ilvl w:val="0"/>
          <w:numId w:val="14"/>
        </w:numPr>
        <w:autoSpaceDE w:val="0"/>
        <w:autoSpaceDN w:val="0"/>
        <w:adjustRightInd w:val="0"/>
        <w:spacing w:after="0"/>
        <w:jc w:val="both"/>
        <w:rPr>
          <w:rFonts w:ascii="Arial" w:hAnsi="Arial" w:cs="Arial"/>
          <w:sz w:val="18"/>
          <w:szCs w:val="20"/>
          <w:u w:val="single"/>
        </w:rPr>
      </w:pPr>
      <w:hyperlink r:id="rId22" w:tgtFrame="_blank" w:history="1">
        <w:r w:rsidR="00C528AB" w:rsidRPr="008F55D0">
          <w:rPr>
            <w:rStyle w:val="Kpr"/>
            <w:rFonts w:ascii="Arial" w:hAnsi="Arial" w:cs="Arial"/>
            <w:sz w:val="18"/>
            <w:szCs w:val="20"/>
            <w:lang w:val="en-GB"/>
          </w:rPr>
          <w:t>Egzoz Gazı Emisyonu Kontrolü Yönetmeliği</w:t>
        </w:r>
      </w:hyperlink>
    </w:p>
    <w:p w:rsidR="00C528AB" w:rsidRPr="008F55D0" w:rsidRDefault="00A23AA1" w:rsidP="00C528AB">
      <w:pPr>
        <w:numPr>
          <w:ilvl w:val="0"/>
          <w:numId w:val="14"/>
        </w:numPr>
        <w:autoSpaceDE w:val="0"/>
        <w:autoSpaceDN w:val="0"/>
        <w:adjustRightInd w:val="0"/>
        <w:spacing w:after="0"/>
        <w:jc w:val="both"/>
        <w:rPr>
          <w:rFonts w:ascii="Arial" w:hAnsi="Arial" w:cs="Arial"/>
          <w:sz w:val="20"/>
          <w:szCs w:val="20"/>
          <w:u w:val="single"/>
        </w:rPr>
      </w:pPr>
      <w:hyperlink r:id="rId23" w:history="1">
        <w:r w:rsidR="00C528AB" w:rsidRPr="008F55D0">
          <w:rPr>
            <w:rStyle w:val="Kpr"/>
            <w:rFonts w:ascii="Arial" w:hAnsi="Arial" w:cs="Arial"/>
            <w:sz w:val="18"/>
            <w:szCs w:val="20"/>
            <w:lang w:val="en-GB"/>
          </w:rPr>
          <w:t>Kokuya Sebep Olan Emisyonların Kontrolü Yönetmeliği</w:t>
        </w:r>
      </w:hyperlink>
    </w:p>
    <w:p w:rsidR="00C528AB" w:rsidRPr="00C528AB" w:rsidRDefault="00C528AB" w:rsidP="00C528AB">
      <w:pPr>
        <w:autoSpaceDE w:val="0"/>
        <w:autoSpaceDN w:val="0"/>
        <w:adjustRightInd w:val="0"/>
        <w:spacing w:before="240"/>
        <w:jc w:val="both"/>
        <w:rPr>
          <w:rFonts w:ascii="Times New Roman" w:hAnsi="Times New Roman" w:cs="Times New Roman"/>
          <w:sz w:val="24"/>
          <w:szCs w:val="24"/>
        </w:rPr>
      </w:pPr>
      <w:r w:rsidRPr="00C528AB">
        <w:rPr>
          <w:rFonts w:ascii="Times New Roman" w:hAnsi="Times New Roman" w:cs="Times New Roman"/>
          <w:sz w:val="24"/>
          <w:szCs w:val="24"/>
        </w:rPr>
        <w:t>HKDY uygulama takvimi kapsamında, 2014 yılında Avrupa Birliği hava kalitesi limit değerlerine uyum sürecinin başlatılması öngörülmektedir. 81 ili kapsayan bir Ulusal Hava Kalitesi İzleme Ağı ve 2010-2013 dönemi kapsayan bir “</w:t>
      </w:r>
      <w:hyperlink r:id="rId24" w:history="1">
        <w:r w:rsidRPr="00C528AB">
          <w:rPr>
            <w:rStyle w:val="Kpr"/>
            <w:rFonts w:ascii="Times New Roman" w:hAnsi="Times New Roman" w:cs="Times New Roman"/>
            <w:sz w:val="24"/>
            <w:szCs w:val="24"/>
          </w:rPr>
          <w:t>Temiz Hava Eylem Planı</w:t>
        </w:r>
      </w:hyperlink>
      <w:r w:rsidRPr="00C528AB">
        <w:rPr>
          <w:rFonts w:ascii="Times New Roman" w:hAnsi="Times New Roman" w:cs="Times New Roman"/>
          <w:sz w:val="24"/>
          <w:szCs w:val="24"/>
        </w:rPr>
        <w:t xml:space="preserve">” oluşturulmuştur. </w:t>
      </w:r>
    </w:p>
    <w:p w:rsidR="00C528AB" w:rsidRPr="00C528AB" w:rsidRDefault="00C528AB" w:rsidP="00C528AB">
      <w:pPr>
        <w:autoSpaceDE w:val="0"/>
        <w:autoSpaceDN w:val="0"/>
        <w:adjustRightInd w:val="0"/>
        <w:spacing w:before="240"/>
        <w:jc w:val="both"/>
        <w:rPr>
          <w:rFonts w:ascii="Times New Roman" w:hAnsi="Times New Roman" w:cs="Times New Roman"/>
          <w:sz w:val="24"/>
          <w:szCs w:val="24"/>
        </w:rPr>
      </w:pPr>
      <w:r w:rsidRPr="00C528AB">
        <w:rPr>
          <w:rFonts w:ascii="Times New Roman" w:hAnsi="Times New Roman" w:cs="Times New Roman"/>
          <w:sz w:val="24"/>
          <w:szCs w:val="24"/>
        </w:rPr>
        <w:t>Türkiye, 2008/50/EC sayılı Çerçeve Direktife tam uyum sağlayamamıştır. Mevzuatın tam olarak uyumlaştırılması için HKDYY’nin revizyonunu içeren taslak bir yönetmelik hazırlanmıştır. AB mevzuatı kapsamında yer alan kirleticiler icin belirlenen limit değerlere tam uyumun ise, en erken 2024 yılında sağlanması beklenmektedir. 2001/81/EC sayılı, Atmosferi kirleten belirli maddeler icin ulusal emisyon tavan değerlerine ilişkin Direktif’in Turk mevzuatına aktarımının ise 2012 yılında gercekleştirilmesi öngörülmektedir.</w:t>
      </w:r>
    </w:p>
    <w:p w:rsidR="00C528AB" w:rsidRDefault="00C528AB" w:rsidP="00C528AB">
      <w:pPr>
        <w:autoSpaceDE w:val="0"/>
        <w:autoSpaceDN w:val="0"/>
        <w:adjustRightInd w:val="0"/>
        <w:spacing w:before="240"/>
        <w:jc w:val="both"/>
        <w:rPr>
          <w:rFonts w:ascii="Arial" w:hAnsi="Arial" w:cs="Arial"/>
          <w:sz w:val="20"/>
          <w:szCs w:val="20"/>
        </w:rPr>
      </w:pPr>
      <w:r>
        <w:rPr>
          <w:rFonts w:ascii="Arial" w:hAnsi="Arial" w:cs="Arial"/>
          <w:sz w:val="20"/>
          <w:szCs w:val="20"/>
          <w:lang w:eastAsia="tr-TR"/>
        </w:rPr>
        <w:drawing>
          <wp:anchor distT="0" distB="0" distL="114300" distR="114300" simplePos="0" relativeHeight="251661312" behindDoc="1" locked="0" layoutInCell="1" allowOverlap="1">
            <wp:simplePos x="0" y="0"/>
            <wp:positionH relativeFrom="column">
              <wp:posOffset>100330</wp:posOffset>
            </wp:positionH>
            <wp:positionV relativeFrom="paragraph">
              <wp:posOffset>44450</wp:posOffset>
            </wp:positionV>
            <wp:extent cx="5038725" cy="3114675"/>
            <wp:effectExtent l="19050" t="0" r="9525" b="0"/>
            <wp:wrapTight wrapText="bothSides">
              <wp:wrapPolygon edited="0">
                <wp:start x="-82" y="0"/>
                <wp:lineTo x="-82" y="21534"/>
                <wp:lineTo x="21641" y="21534"/>
                <wp:lineTo x="21641" y="0"/>
                <wp:lineTo x="-82" y="0"/>
              </wp:wrapPolygon>
            </wp:wrapTight>
            <wp:docPr id="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srcRect l="16757" t="30333" r="15733" b="17499"/>
                    <a:stretch>
                      <a:fillRect/>
                    </a:stretch>
                  </pic:blipFill>
                  <pic:spPr bwMode="auto">
                    <a:xfrm>
                      <a:off x="0" y="0"/>
                      <a:ext cx="5038725" cy="3114675"/>
                    </a:xfrm>
                    <a:prstGeom prst="rect">
                      <a:avLst/>
                    </a:prstGeom>
                    <a:noFill/>
                    <a:ln w="9525">
                      <a:noFill/>
                      <a:miter lim="800000"/>
                      <a:headEnd/>
                      <a:tailEnd/>
                    </a:ln>
                  </pic:spPr>
                </pic:pic>
              </a:graphicData>
            </a:graphic>
          </wp:anchor>
        </w:drawing>
      </w:r>
    </w:p>
    <w:p w:rsidR="00C528AB" w:rsidRDefault="00C528AB" w:rsidP="00C528AB">
      <w:pPr>
        <w:autoSpaceDE w:val="0"/>
        <w:autoSpaceDN w:val="0"/>
        <w:adjustRightInd w:val="0"/>
        <w:spacing w:before="240"/>
        <w:jc w:val="both"/>
        <w:rPr>
          <w:rFonts w:ascii="Arial" w:hAnsi="Arial" w:cs="Arial"/>
          <w:sz w:val="20"/>
          <w:szCs w:val="20"/>
        </w:rPr>
      </w:pPr>
    </w:p>
    <w:p w:rsidR="00C528AB" w:rsidRDefault="00C528AB" w:rsidP="00C528AB">
      <w:pPr>
        <w:autoSpaceDE w:val="0"/>
        <w:autoSpaceDN w:val="0"/>
        <w:adjustRightInd w:val="0"/>
        <w:spacing w:before="240"/>
        <w:jc w:val="both"/>
        <w:rPr>
          <w:rFonts w:ascii="Arial" w:hAnsi="Arial" w:cs="Arial"/>
          <w:sz w:val="20"/>
          <w:szCs w:val="20"/>
        </w:rPr>
      </w:pPr>
    </w:p>
    <w:p w:rsidR="00C528AB" w:rsidRDefault="00C528AB" w:rsidP="00C528AB">
      <w:pPr>
        <w:autoSpaceDE w:val="0"/>
        <w:autoSpaceDN w:val="0"/>
        <w:adjustRightInd w:val="0"/>
        <w:spacing w:before="240"/>
        <w:jc w:val="both"/>
        <w:rPr>
          <w:rFonts w:ascii="Arial" w:hAnsi="Arial" w:cs="Arial"/>
          <w:sz w:val="20"/>
          <w:szCs w:val="20"/>
        </w:rPr>
      </w:pPr>
    </w:p>
    <w:p w:rsidR="00C528AB" w:rsidRPr="00F05505" w:rsidRDefault="00C528AB" w:rsidP="00C528AB">
      <w:pPr>
        <w:autoSpaceDE w:val="0"/>
        <w:autoSpaceDN w:val="0"/>
        <w:adjustRightInd w:val="0"/>
        <w:spacing w:before="240"/>
        <w:jc w:val="both"/>
        <w:rPr>
          <w:rFonts w:ascii="Arial" w:hAnsi="Arial" w:cs="Arial"/>
          <w:sz w:val="20"/>
          <w:szCs w:val="20"/>
        </w:rPr>
      </w:pPr>
    </w:p>
    <w:p w:rsidR="00260199" w:rsidRPr="00260199" w:rsidRDefault="00260199" w:rsidP="00260199">
      <w:pPr>
        <w:autoSpaceDE w:val="0"/>
        <w:autoSpaceDN w:val="0"/>
        <w:adjustRightInd w:val="0"/>
        <w:spacing w:before="240"/>
        <w:jc w:val="both"/>
        <w:rPr>
          <w:rFonts w:ascii="Times New Roman" w:hAnsi="Times New Roman" w:cs="Times New Roman"/>
          <w:sz w:val="24"/>
          <w:szCs w:val="24"/>
        </w:rPr>
      </w:pPr>
      <w:r w:rsidRPr="00260199">
        <w:rPr>
          <w:rFonts w:ascii="Times New Roman" w:hAnsi="Times New Roman" w:cs="Times New Roman"/>
          <w:sz w:val="24"/>
          <w:szCs w:val="24"/>
        </w:rPr>
        <w:t xml:space="preserve"> </w:t>
      </w:r>
    </w:p>
    <w:p w:rsidR="00C528AB" w:rsidRDefault="00C528AB" w:rsidP="00260199">
      <w:pPr>
        <w:autoSpaceDE w:val="0"/>
        <w:autoSpaceDN w:val="0"/>
        <w:adjustRightInd w:val="0"/>
        <w:spacing w:after="0"/>
        <w:jc w:val="both"/>
        <w:rPr>
          <w:rFonts w:ascii="Times New Roman" w:hAnsi="Times New Roman" w:cs="Times New Roman"/>
          <w:noProof w:val="0"/>
          <w:sz w:val="24"/>
          <w:szCs w:val="24"/>
        </w:rPr>
      </w:pPr>
    </w:p>
    <w:p w:rsidR="00C528AB" w:rsidRDefault="00C528AB" w:rsidP="00260199">
      <w:pPr>
        <w:autoSpaceDE w:val="0"/>
        <w:autoSpaceDN w:val="0"/>
        <w:adjustRightInd w:val="0"/>
        <w:spacing w:after="0"/>
        <w:jc w:val="both"/>
        <w:rPr>
          <w:rFonts w:ascii="Times New Roman" w:hAnsi="Times New Roman" w:cs="Times New Roman"/>
          <w:noProof w:val="0"/>
          <w:sz w:val="24"/>
          <w:szCs w:val="24"/>
        </w:rPr>
      </w:pPr>
    </w:p>
    <w:p w:rsidR="00C528AB" w:rsidRDefault="00C528AB" w:rsidP="00260199">
      <w:pPr>
        <w:autoSpaceDE w:val="0"/>
        <w:autoSpaceDN w:val="0"/>
        <w:adjustRightInd w:val="0"/>
        <w:spacing w:after="0"/>
        <w:jc w:val="both"/>
        <w:rPr>
          <w:rFonts w:ascii="Times New Roman" w:hAnsi="Times New Roman" w:cs="Times New Roman"/>
          <w:noProof w:val="0"/>
          <w:sz w:val="24"/>
          <w:szCs w:val="24"/>
        </w:rPr>
      </w:pPr>
    </w:p>
    <w:p w:rsidR="00C528AB" w:rsidRDefault="00C528AB" w:rsidP="00260199">
      <w:pPr>
        <w:autoSpaceDE w:val="0"/>
        <w:autoSpaceDN w:val="0"/>
        <w:adjustRightInd w:val="0"/>
        <w:spacing w:after="0"/>
        <w:jc w:val="both"/>
        <w:rPr>
          <w:rFonts w:ascii="Times New Roman" w:hAnsi="Times New Roman" w:cs="Times New Roman"/>
          <w:noProof w:val="0"/>
          <w:sz w:val="24"/>
          <w:szCs w:val="24"/>
        </w:rPr>
      </w:pPr>
    </w:p>
    <w:p w:rsidR="00C528AB" w:rsidRDefault="00C528AB" w:rsidP="00260199">
      <w:pPr>
        <w:autoSpaceDE w:val="0"/>
        <w:autoSpaceDN w:val="0"/>
        <w:adjustRightInd w:val="0"/>
        <w:spacing w:after="0"/>
        <w:jc w:val="both"/>
        <w:rPr>
          <w:rFonts w:ascii="Times New Roman" w:hAnsi="Times New Roman" w:cs="Times New Roman"/>
          <w:noProof w:val="0"/>
          <w:sz w:val="24"/>
          <w:szCs w:val="24"/>
        </w:rPr>
      </w:pPr>
    </w:p>
    <w:p w:rsidR="00C528AB" w:rsidRDefault="00C528AB" w:rsidP="00260199">
      <w:pPr>
        <w:autoSpaceDE w:val="0"/>
        <w:autoSpaceDN w:val="0"/>
        <w:adjustRightInd w:val="0"/>
        <w:spacing w:after="0"/>
        <w:jc w:val="both"/>
        <w:rPr>
          <w:rFonts w:ascii="Times New Roman" w:hAnsi="Times New Roman" w:cs="Times New Roman"/>
          <w:noProof w:val="0"/>
          <w:sz w:val="24"/>
          <w:szCs w:val="24"/>
        </w:rPr>
      </w:pPr>
    </w:p>
    <w:p w:rsidR="00C528AB" w:rsidRDefault="00C528AB" w:rsidP="00260199">
      <w:pPr>
        <w:autoSpaceDE w:val="0"/>
        <w:autoSpaceDN w:val="0"/>
        <w:adjustRightInd w:val="0"/>
        <w:spacing w:after="0"/>
        <w:jc w:val="both"/>
        <w:rPr>
          <w:rFonts w:ascii="Times New Roman" w:hAnsi="Times New Roman" w:cs="Times New Roman"/>
          <w:noProof w:val="0"/>
          <w:sz w:val="24"/>
          <w:szCs w:val="24"/>
        </w:rPr>
      </w:pPr>
    </w:p>
    <w:p w:rsidR="00C528AB" w:rsidRPr="00C528AB" w:rsidRDefault="00C528AB" w:rsidP="00C528AB">
      <w:pPr>
        <w:pStyle w:val="ResimYazs"/>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C528AB">
        <w:rPr>
          <w:rFonts w:ascii="Times New Roman" w:hAnsi="Times New Roman" w:cs="Times New Roman"/>
          <w:color w:val="auto"/>
          <w:sz w:val="24"/>
          <w:szCs w:val="24"/>
        </w:rPr>
        <w:t xml:space="preserve">Tablo </w:t>
      </w:r>
      <w:proofErr w:type="gramStart"/>
      <w:r w:rsidRPr="00C528AB">
        <w:rPr>
          <w:rFonts w:ascii="Times New Roman" w:hAnsi="Times New Roman" w:cs="Times New Roman"/>
          <w:color w:val="auto"/>
          <w:sz w:val="24"/>
          <w:szCs w:val="24"/>
        </w:rPr>
        <w:t>1 :</w:t>
      </w:r>
      <w:r w:rsidRPr="00C528AB">
        <w:rPr>
          <w:rFonts w:ascii="Times New Roman" w:hAnsi="Times New Roman" w:cs="Times New Roman"/>
          <w:b w:val="0"/>
          <w:color w:val="auto"/>
          <w:sz w:val="24"/>
          <w:szCs w:val="24"/>
        </w:rPr>
        <w:t xml:space="preserve"> Türkiye'nin</w:t>
      </w:r>
      <w:proofErr w:type="gramEnd"/>
      <w:r w:rsidRPr="00C528AB">
        <w:rPr>
          <w:rFonts w:ascii="Times New Roman" w:hAnsi="Times New Roman" w:cs="Times New Roman"/>
          <w:b w:val="0"/>
          <w:color w:val="auto"/>
          <w:sz w:val="24"/>
          <w:szCs w:val="24"/>
        </w:rPr>
        <w:t xml:space="preserve"> hava kalitesi yönetimi açısından AB'ye uyum takvimi</w:t>
      </w:r>
    </w:p>
    <w:p w:rsidR="00260199" w:rsidRDefault="00260199" w:rsidP="00260199">
      <w:pPr>
        <w:autoSpaceDE w:val="0"/>
        <w:autoSpaceDN w:val="0"/>
        <w:adjustRightInd w:val="0"/>
        <w:spacing w:after="0"/>
        <w:jc w:val="both"/>
        <w:rPr>
          <w:rFonts w:ascii="Times New Roman" w:hAnsi="Times New Roman" w:cs="Times New Roman"/>
          <w:b/>
          <w:noProof w:val="0"/>
          <w:sz w:val="24"/>
          <w:szCs w:val="24"/>
        </w:rPr>
      </w:pPr>
    </w:p>
    <w:p w:rsidR="00577AF1" w:rsidRDefault="001C6BDB" w:rsidP="00577AF1">
      <w:pPr>
        <w:spacing w:after="0"/>
        <w:rPr>
          <w:rFonts w:ascii="Times New Roman" w:hAnsi="Times New Roman"/>
          <w:b/>
          <w:sz w:val="28"/>
          <w:szCs w:val="28"/>
        </w:rPr>
      </w:pPr>
      <w:r>
        <w:rPr>
          <w:rFonts w:ascii="Times New Roman" w:hAnsi="Times New Roman"/>
          <w:b/>
          <w:sz w:val="28"/>
          <w:szCs w:val="28"/>
        </w:rPr>
        <w:t xml:space="preserve">15- </w:t>
      </w:r>
      <w:r w:rsidR="00577AF1" w:rsidRPr="008843F3">
        <w:rPr>
          <w:rFonts w:ascii="Times New Roman" w:hAnsi="Times New Roman"/>
          <w:b/>
          <w:sz w:val="28"/>
          <w:szCs w:val="28"/>
        </w:rPr>
        <w:t xml:space="preserve">Uçucu Organik Bileşikler Direktifi (VOC) </w:t>
      </w:r>
      <w:r w:rsidR="00577AF1">
        <w:rPr>
          <w:rFonts w:ascii="Times New Roman" w:hAnsi="Times New Roman"/>
          <w:b/>
          <w:sz w:val="28"/>
          <w:szCs w:val="28"/>
        </w:rPr>
        <w:t xml:space="preserve"> ve Türkiye’deki İlgili Düzenlemeler</w:t>
      </w:r>
    </w:p>
    <w:p w:rsidR="00577AF1" w:rsidRDefault="00577AF1" w:rsidP="00577AF1">
      <w:pPr>
        <w:spacing w:after="0"/>
        <w:rPr>
          <w:rFonts w:ascii="Times New Roman" w:hAnsi="Times New Roman"/>
          <w:b/>
          <w:sz w:val="28"/>
          <w:szCs w:val="28"/>
        </w:rPr>
      </w:pPr>
    </w:p>
    <w:p w:rsidR="00577AF1" w:rsidRDefault="00577AF1" w:rsidP="00577AF1">
      <w:pPr>
        <w:spacing w:after="0"/>
        <w:rPr>
          <w:rFonts w:ascii="Times New Roman" w:hAnsi="Times New Roman"/>
          <w:sz w:val="24"/>
          <w:szCs w:val="24"/>
        </w:rPr>
      </w:pPr>
      <w:r w:rsidRPr="003217E7">
        <w:rPr>
          <w:rFonts w:ascii="Times New Roman" w:hAnsi="Times New Roman"/>
          <w:sz w:val="24"/>
          <w:szCs w:val="24"/>
        </w:rPr>
        <w:t xml:space="preserve">Avrupa </w:t>
      </w:r>
      <w:r>
        <w:rPr>
          <w:rFonts w:ascii="Times New Roman" w:hAnsi="Times New Roman"/>
          <w:sz w:val="24"/>
          <w:szCs w:val="24"/>
        </w:rPr>
        <w:t xml:space="preserve">Birliği’nde uçucu organik bileşikler </w:t>
      </w:r>
      <w:r w:rsidRPr="0050402E">
        <w:rPr>
          <w:rFonts w:ascii="Times New Roman" w:hAnsi="Times New Roman"/>
          <w:b/>
          <w:sz w:val="24"/>
          <w:szCs w:val="24"/>
        </w:rPr>
        <w:t>1999/13/EC</w:t>
      </w:r>
      <w:r>
        <w:rPr>
          <w:rFonts w:ascii="Times New Roman" w:hAnsi="Times New Roman"/>
          <w:sz w:val="24"/>
          <w:szCs w:val="24"/>
        </w:rPr>
        <w:t xml:space="preserve"> sayılı Direktif ile yürütülmektedir. Bahse konu direktif bileşikler için emisyon sınır değerleri belirlemekte, uçucu organik bileşiklerin kullanıldığı tesislere bazı yükümlülükler getirmektedir.</w:t>
      </w:r>
    </w:p>
    <w:p w:rsidR="00577AF1" w:rsidRDefault="00577AF1" w:rsidP="00577AF1">
      <w:pPr>
        <w:spacing w:after="0"/>
        <w:rPr>
          <w:rFonts w:ascii="Times New Roman" w:hAnsi="Times New Roman"/>
          <w:sz w:val="24"/>
          <w:szCs w:val="24"/>
        </w:rPr>
      </w:pPr>
    </w:p>
    <w:p w:rsidR="00577AF1" w:rsidRDefault="00577AF1" w:rsidP="00577AF1">
      <w:pPr>
        <w:spacing w:after="0"/>
        <w:rPr>
          <w:rFonts w:ascii="Times New Roman" w:hAnsi="Times New Roman"/>
          <w:sz w:val="24"/>
          <w:szCs w:val="24"/>
        </w:rPr>
      </w:pPr>
      <w:r>
        <w:rPr>
          <w:rFonts w:ascii="Times New Roman" w:hAnsi="Times New Roman"/>
          <w:sz w:val="24"/>
          <w:szCs w:val="24"/>
        </w:rPr>
        <w:t xml:space="preserve">1999/13/EC sayılı Direktif’te </w:t>
      </w:r>
      <w:r w:rsidRPr="004F72E0">
        <w:rPr>
          <w:rFonts w:ascii="Times New Roman" w:eastAsia="Calibri" w:hAnsi="Times New Roman" w:cs="Times New Roman"/>
          <w:sz w:val="24"/>
          <w:szCs w:val="24"/>
        </w:rPr>
        <w:t xml:space="preserve"> VOC’ler; 293,15 Kelvin sıcaklığında, 0,01kPa ve ya daha yüksek buhar basıncına sahip organik maddeler olarak tanımlanmıştır. Uçu</w:t>
      </w:r>
      <w:r>
        <w:rPr>
          <w:rFonts w:ascii="Times New Roman" w:hAnsi="Times New Roman"/>
          <w:sz w:val="24"/>
          <w:szCs w:val="24"/>
        </w:rPr>
        <w:t>c</w:t>
      </w:r>
      <w:r w:rsidRPr="004F72E0">
        <w:rPr>
          <w:rFonts w:ascii="Times New Roman" w:eastAsia="Calibri" w:hAnsi="Times New Roman" w:cs="Times New Roman"/>
          <w:sz w:val="24"/>
          <w:szCs w:val="24"/>
        </w:rPr>
        <w:t>u organik bileşiklere propan, benzen, kloroform, etanol verilebilir.</w:t>
      </w:r>
    </w:p>
    <w:p w:rsidR="00577AF1" w:rsidRPr="004F72E0" w:rsidRDefault="00577AF1" w:rsidP="00577AF1">
      <w:pPr>
        <w:spacing w:after="0"/>
        <w:rPr>
          <w:rFonts w:ascii="Times New Roman" w:eastAsia="Calibri" w:hAnsi="Times New Roman"/>
          <w:sz w:val="24"/>
          <w:szCs w:val="24"/>
        </w:rPr>
      </w:pPr>
    </w:p>
    <w:p w:rsidR="00577AF1" w:rsidRPr="003217E7" w:rsidRDefault="00577AF1" w:rsidP="00577AF1">
      <w:pPr>
        <w:spacing w:after="0"/>
        <w:rPr>
          <w:rFonts w:ascii="Times New Roman" w:hAnsi="Times New Roman"/>
          <w:sz w:val="24"/>
          <w:szCs w:val="24"/>
        </w:rPr>
      </w:pPr>
      <w:r w:rsidRPr="004F72E0">
        <w:rPr>
          <w:rFonts w:ascii="Times New Roman" w:eastAsia="Calibri" w:hAnsi="Times New Roman" w:cs="Times New Roman"/>
          <w:sz w:val="24"/>
          <w:szCs w:val="24"/>
        </w:rPr>
        <w:t xml:space="preserve">Bu </w:t>
      </w:r>
      <w:r>
        <w:rPr>
          <w:rFonts w:ascii="Times New Roman" w:hAnsi="Times New Roman"/>
          <w:sz w:val="24"/>
          <w:szCs w:val="24"/>
        </w:rPr>
        <w:t>d</w:t>
      </w:r>
      <w:r w:rsidRPr="004F72E0">
        <w:rPr>
          <w:rFonts w:ascii="Times New Roman" w:eastAsia="Calibri" w:hAnsi="Times New Roman" w:cs="Times New Roman"/>
          <w:sz w:val="24"/>
          <w:szCs w:val="24"/>
        </w:rPr>
        <w:t>irektif belirli sanayi tesislerinden kaynaklanan uçucu organik bileşiklerin, insan sağlığı için muhtemel riskleri nedeni ile temel olarak havadaki, çevredeki emisyonlarının doğrudan ve dolaylı etkilerini, uygulanacak olan önlemler ve usulleri yerine getirerek engellenmesi veya azaltılması amaçlanmaktadır.</w:t>
      </w:r>
    </w:p>
    <w:p w:rsidR="00577AF1" w:rsidRPr="009C6835" w:rsidRDefault="00577AF1" w:rsidP="00577AF1">
      <w:pPr>
        <w:pStyle w:val="NormalWeb"/>
        <w:spacing w:line="276" w:lineRule="auto"/>
        <w:jc w:val="both"/>
        <w:rPr>
          <w:color w:val="000000"/>
        </w:rPr>
      </w:pPr>
      <w:r>
        <w:rPr>
          <w:color w:val="000000"/>
        </w:rPr>
        <w:t>Türkiye’de u</w:t>
      </w:r>
      <w:r w:rsidRPr="009C6835">
        <w:rPr>
          <w:color w:val="000000"/>
        </w:rPr>
        <w:t xml:space="preserve">çucu organik bileşikler hakkında ilk düzenleme 1986 yılında yürürlüğe giren Hava Kalitesinin Korunması </w:t>
      </w:r>
      <w:r>
        <w:rPr>
          <w:color w:val="000000"/>
        </w:rPr>
        <w:t>Y</w:t>
      </w:r>
      <w:r w:rsidRPr="009C6835">
        <w:rPr>
          <w:color w:val="000000"/>
        </w:rPr>
        <w:t>önetmeliği (HKKY) olup</w:t>
      </w:r>
      <w:r>
        <w:rPr>
          <w:color w:val="000000"/>
        </w:rPr>
        <w:t>,</w:t>
      </w:r>
      <w:r w:rsidRPr="009C6835">
        <w:rPr>
          <w:color w:val="000000"/>
        </w:rPr>
        <w:t xml:space="preserve"> bu yönetmelik ile havaya salınan organik gaz ve buhar emisyonlarına sınırlama getirilmiş ve bu yönetmelikte yer alan faaliyetleri gösteren tesisler </w:t>
      </w:r>
      <w:proofErr w:type="gramStart"/>
      <w:r w:rsidRPr="009C6835">
        <w:rPr>
          <w:color w:val="000000"/>
        </w:rPr>
        <w:t>emisyon</w:t>
      </w:r>
      <w:proofErr w:type="gramEnd"/>
      <w:r w:rsidRPr="009C6835">
        <w:rPr>
          <w:color w:val="000000"/>
        </w:rPr>
        <w:t xml:space="preserve"> iznine tabi tutulmuştur. </w:t>
      </w:r>
    </w:p>
    <w:p w:rsidR="00577AF1" w:rsidRPr="009C6835" w:rsidRDefault="00577AF1" w:rsidP="00577AF1">
      <w:pPr>
        <w:pStyle w:val="NormalWeb"/>
        <w:spacing w:line="276" w:lineRule="auto"/>
        <w:jc w:val="both"/>
        <w:rPr>
          <w:color w:val="000000"/>
        </w:rPr>
      </w:pPr>
      <w:r w:rsidRPr="009C6835">
        <w:rPr>
          <w:color w:val="000000"/>
        </w:rPr>
        <w:t xml:space="preserve">2004 yılında yayımlanan Endüstriyel Kaynaklı Hava Kirliliğinin Kontrolü Yönetmeliği ile </w:t>
      </w:r>
      <w:proofErr w:type="spellStart"/>
      <w:r w:rsidRPr="009C6835">
        <w:rPr>
          <w:color w:val="000000"/>
        </w:rPr>
        <w:t>HKKY’de</w:t>
      </w:r>
      <w:proofErr w:type="spellEnd"/>
      <w:r w:rsidRPr="009C6835">
        <w:rPr>
          <w:color w:val="000000"/>
        </w:rPr>
        <w:t xml:space="preserve"> görülen eksiklikler giderilmiş ve çözücü kullanılan ve VOC </w:t>
      </w:r>
      <w:proofErr w:type="gramStart"/>
      <w:r w:rsidRPr="009C6835">
        <w:rPr>
          <w:color w:val="000000"/>
        </w:rPr>
        <w:t>emisyonlarına</w:t>
      </w:r>
      <w:proofErr w:type="gramEnd"/>
      <w:r w:rsidRPr="009C6835">
        <w:rPr>
          <w:color w:val="000000"/>
        </w:rPr>
        <w:t xml:space="preserve"> neden olan tesislerin kapsamı genişletilmiştir.</w:t>
      </w:r>
    </w:p>
    <w:p w:rsidR="00577AF1" w:rsidRDefault="00577AF1" w:rsidP="00577AF1">
      <w:pPr>
        <w:pStyle w:val="NormalWeb"/>
        <w:spacing w:line="276" w:lineRule="auto"/>
        <w:jc w:val="both"/>
        <w:rPr>
          <w:color w:val="000000"/>
        </w:rPr>
      </w:pPr>
      <w:r w:rsidRPr="009C6835">
        <w:rPr>
          <w:color w:val="000000"/>
        </w:rPr>
        <w:t xml:space="preserve">3 Temmuz 2009 tarih ve 27277 sayılı Resmi Gazetede yayımlanan Sanayi Kaynaklı Hava Kirliliğinin Kontrolü Yönetmeliği (SKHKKY) “İnsan ve çevresinin hava alıcı ortamdaki kirlenmelerden doğacak tehlikelerden koruması” amacıyla tesislerden kaynaklanan </w:t>
      </w:r>
      <w:proofErr w:type="gramStart"/>
      <w:r w:rsidRPr="009C6835">
        <w:rPr>
          <w:color w:val="000000"/>
        </w:rPr>
        <w:t>emisyonlar</w:t>
      </w:r>
      <w:proofErr w:type="gramEnd"/>
      <w:r w:rsidRPr="009C6835">
        <w:rPr>
          <w:color w:val="000000"/>
        </w:rPr>
        <w:t xml:space="preserve"> ve hava kalitesi sınır değerleri belirlenmiştir. SKHKKY Ek 1’de yer alan organik gaz ve buhar emisyonları sınır değerleri </w:t>
      </w:r>
      <w:r>
        <w:rPr>
          <w:color w:val="000000"/>
        </w:rPr>
        <w:t xml:space="preserve">ise </w:t>
      </w:r>
      <w:proofErr w:type="gramStart"/>
      <w:r>
        <w:rPr>
          <w:color w:val="000000"/>
        </w:rPr>
        <w:t>16/06/2012</w:t>
      </w:r>
      <w:proofErr w:type="gramEnd"/>
      <w:r>
        <w:rPr>
          <w:color w:val="000000"/>
        </w:rPr>
        <w:t xml:space="preserve"> tarihinde 28325 sayılı Resmi Gazete’de yayımlanan değişikliklerle güncellenmiştir.</w:t>
      </w:r>
      <w:r w:rsidRPr="009C6835">
        <w:rPr>
          <w:color w:val="000000"/>
        </w:rPr>
        <w:t xml:space="preserve"> </w:t>
      </w:r>
    </w:p>
    <w:p w:rsidR="00577AF1" w:rsidRPr="009C6835" w:rsidRDefault="00577AF1" w:rsidP="00577AF1">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r w:rsidRPr="009C6835">
        <w:rPr>
          <w:rFonts w:ascii="Times New Roman" w:eastAsia="Times New Roman" w:hAnsi="Times New Roman" w:cs="Times New Roman"/>
          <w:color w:val="000000"/>
          <w:sz w:val="24"/>
          <w:szCs w:val="24"/>
          <w:lang w:eastAsia="tr-TR"/>
        </w:rPr>
        <w:t>Ülkemizin AB uyum sürecinde çevre alt yapı ihtiyaçlarını belirlemek amacıyla 2005 yılında “</w:t>
      </w:r>
      <w:r w:rsidRPr="009C6835">
        <w:rPr>
          <w:rFonts w:ascii="Times New Roman" w:eastAsia="Times New Roman" w:hAnsi="Times New Roman" w:cs="Times New Roman"/>
          <w:b/>
          <w:color w:val="000000"/>
          <w:sz w:val="24"/>
          <w:szCs w:val="24"/>
          <w:lang w:eastAsia="tr-TR"/>
        </w:rPr>
        <w:t>Yüksek Maliyetli Çevre Yatırımlarının Planlanması, ENVEST 2005</w:t>
      </w:r>
      <w:r w:rsidRPr="009C6835">
        <w:rPr>
          <w:rFonts w:ascii="Times New Roman" w:eastAsia="Times New Roman" w:hAnsi="Times New Roman" w:cs="Times New Roman"/>
          <w:color w:val="000000"/>
          <w:sz w:val="24"/>
          <w:szCs w:val="24"/>
          <w:lang w:eastAsia="tr-TR"/>
        </w:rPr>
        <w:t xml:space="preserve">” projesi yapılmıştır. Bu çalışmada ülkemizde faaliyet gösteren ve direktif kapsamına giren tesis/sektör temsilcileri ile birlikte, diğer ülkelerin birim maliyetlerinin kullanıldığı yaklaşım dikkate alındığında </w:t>
      </w:r>
      <w:r w:rsidRPr="009C6835">
        <w:rPr>
          <w:rFonts w:ascii="Times New Roman" w:eastAsia="Times New Roman" w:hAnsi="Times New Roman" w:cs="Times New Roman"/>
          <w:b/>
          <w:color w:val="000000"/>
          <w:sz w:val="24"/>
          <w:szCs w:val="24"/>
          <w:lang w:eastAsia="tr-TR"/>
        </w:rPr>
        <w:t>99/13 direktifinin maliyeti yaklaşık</w:t>
      </w:r>
      <w:r w:rsidRPr="009C6835">
        <w:rPr>
          <w:rFonts w:ascii="Times New Roman" w:eastAsia="Times New Roman" w:hAnsi="Times New Roman" w:cs="Times New Roman"/>
          <w:color w:val="000000"/>
          <w:sz w:val="24"/>
          <w:szCs w:val="24"/>
          <w:lang w:eastAsia="tr-TR"/>
        </w:rPr>
        <w:t xml:space="preserve"> </w:t>
      </w:r>
      <w:r w:rsidRPr="009C6835">
        <w:rPr>
          <w:rFonts w:ascii="Times New Roman" w:eastAsia="Times New Roman" w:hAnsi="Times New Roman" w:cs="Times New Roman"/>
          <w:b/>
          <w:color w:val="000000"/>
          <w:sz w:val="24"/>
          <w:szCs w:val="24"/>
          <w:lang w:eastAsia="tr-TR"/>
        </w:rPr>
        <w:t>700 Milyon avro</w:t>
      </w:r>
      <w:r w:rsidRPr="009C6835">
        <w:rPr>
          <w:rFonts w:ascii="Times New Roman" w:eastAsia="Times New Roman" w:hAnsi="Times New Roman" w:cs="Times New Roman"/>
          <w:color w:val="000000"/>
          <w:sz w:val="24"/>
          <w:szCs w:val="24"/>
          <w:lang w:eastAsia="tr-TR"/>
        </w:rPr>
        <w:t xml:space="preserve"> olarak bulunmuştur.</w:t>
      </w:r>
    </w:p>
    <w:p w:rsidR="00577AF1" w:rsidRPr="009C6835" w:rsidRDefault="00577AF1" w:rsidP="00577AF1">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p>
    <w:p w:rsidR="00577AF1" w:rsidRPr="009C6835" w:rsidRDefault="00577AF1" w:rsidP="00577AF1">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r w:rsidRPr="009C6835">
        <w:rPr>
          <w:rFonts w:ascii="Times New Roman" w:eastAsia="Times New Roman" w:hAnsi="Times New Roman" w:cs="Times New Roman"/>
          <w:color w:val="000000"/>
          <w:sz w:val="24"/>
          <w:szCs w:val="24"/>
          <w:lang w:eastAsia="tr-TR"/>
        </w:rPr>
        <w:t xml:space="preserve">AB çevre </w:t>
      </w:r>
      <w:r>
        <w:rPr>
          <w:rFonts w:ascii="Times New Roman" w:eastAsia="Times New Roman" w:hAnsi="Times New Roman"/>
          <w:color w:val="000000"/>
          <w:sz w:val="24"/>
          <w:szCs w:val="24"/>
          <w:lang w:eastAsia="tr-TR"/>
        </w:rPr>
        <w:t>m</w:t>
      </w:r>
      <w:r w:rsidRPr="009C6835">
        <w:rPr>
          <w:rFonts w:ascii="Times New Roman" w:eastAsia="Times New Roman" w:hAnsi="Times New Roman" w:cs="Times New Roman"/>
          <w:color w:val="000000"/>
          <w:sz w:val="24"/>
          <w:szCs w:val="24"/>
          <w:lang w:eastAsia="tr-TR"/>
        </w:rPr>
        <w:t>evzuatı kapsamında yer alan 2004/42/EC ve 1999/13/EC sayılı direktiflerin uyumlaştırılması ve uygulamasına yönelik olarak VOC direktifi kapsamında yer alan sektörleri bilgilendirmek amacıyla Ç</w:t>
      </w:r>
      <w:r>
        <w:rPr>
          <w:rFonts w:ascii="Times New Roman" w:eastAsia="Times New Roman" w:hAnsi="Times New Roman"/>
          <w:color w:val="000000"/>
          <w:sz w:val="24"/>
          <w:szCs w:val="24"/>
          <w:lang w:eastAsia="tr-TR"/>
        </w:rPr>
        <w:t>evre ve Şehiricilik Bakanlığı</w:t>
      </w:r>
      <w:r w:rsidRPr="009C6835">
        <w:rPr>
          <w:rFonts w:ascii="Times New Roman" w:eastAsia="Times New Roman" w:hAnsi="Times New Roman" w:cs="Times New Roman"/>
          <w:color w:val="000000"/>
          <w:sz w:val="24"/>
          <w:szCs w:val="24"/>
          <w:lang w:eastAsia="tr-TR"/>
        </w:rPr>
        <w:t xml:space="preserve"> tarafından 2007 ve 2008 yıllarında çeşitli seminer ve toplantılar gerçekleştirilmiştir.</w:t>
      </w:r>
    </w:p>
    <w:p w:rsidR="00577AF1" w:rsidRPr="009C6835" w:rsidRDefault="00577AF1" w:rsidP="00577AF1">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p>
    <w:p w:rsidR="00577AF1" w:rsidRPr="009C6835" w:rsidRDefault="00577AF1" w:rsidP="00577AF1">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r w:rsidRPr="009C6835">
        <w:rPr>
          <w:rFonts w:ascii="Times New Roman" w:eastAsia="Times New Roman" w:hAnsi="Times New Roman" w:cs="Times New Roman"/>
          <w:color w:val="000000"/>
          <w:sz w:val="24"/>
          <w:szCs w:val="24"/>
          <w:lang w:eastAsia="tr-TR"/>
        </w:rPr>
        <w:t xml:space="preserve">Katılım Öncesi Mali Yardım Aracı (IPA) Programı’nın “Geçiş Dönemi Desteği ve Kurumsal Yapılanma” kapsamında, </w:t>
      </w:r>
      <w:r>
        <w:rPr>
          <w:rFonts w:ascii="Times New Roman" w:eastAsia="Times New Roman" w:hAnsi="Times New Roman"/>
          <w:color w:val="000000"/>
          <w:sz w:val="24"/>
          <w:szCs w:val="24"/>
          <w:lang w:eastAsia="tr-TR"/>
        </w:rPr>
        <w:t>Bakanlık</w:t>
      </w:r>
      <w:r w:rsidRPr="009C6835">
        <w:rPr>
          <w:rFonts w:ascii="Times New Roman" w:eastAsia="Times New Roman" w:hAnsi="Times New Roman" w:cs="Times New Roman"/>
          <w:color w:val="000000"/>
          <w:sz w:val="24"/>
          <w:szCs w:val="24"/>
          <w:lang w:eastAsia="tr-TR"/>
        </w:rPr>
        <w:t xml:space="preserve"> tarafından “Çevre Alanında Kapasite Geliştirme Projesi” çerçevesinde Boya Sektörü “Sektörel Etki Analizi” Boğaziçi Üniversitesi tarafından yapılmaktadır. </w:t>
      </w:r>
    </w:p>
    <w:p w:rsidR="00577AF1" w:rsidRDefault="00577AF1" w:rsidP="00577AF1">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r w:rsidRPr="009C6835">
        <w:rPr>
          <w:rFonts w:ascii="Times New Roman" w:eastAsia="Times New Roman" w:hAnsi="Times New Roman" w:cs="Times New Roman"/>
          <w:color w:val="000000"/>
          <w:sz w:val="24"/>
          <w:szCs w:val="24"/>
          <w:lang w:eastAsia="tr-TR"/>
        </w:rPr>
        <w:t xml:space="preserve">1999/13/EC sayılı “Belirli faaliyet ve işletmelerde organik çözücü kullanılmasından kaynaklanan uçucu organik bileşik emisyonlarının kontrolüne” ve 2004/42/EC sayılı “Belirli boya, vernik oto boya ürünlerinde kullanılan organik çözücülerden kaynaklanan uçucu </w:t>
      </w:r>
      <w:r w:rsidRPr="009C6835">
        <w:rPr>
          <w:rFonts w:ascii="Times New Roman" w:eastAsia="Times New Roman" w:hAnsi="Times New Roman" w:cs="Times New Roman"/>
          <w:color w:val="000000"/>
          <w:sz w:val="24"/>
          <w:szCs w:val="24"/>
          <w:lang w:eastAsia="tr-TR"/>
        </w:rPr>
        <w:lastRenderedPageBreak/>
        <w:t xml:space="preserve">organik bileşiklerin emisyonlarının kontrolüne” ilişkin direktiflerin 2013 yılında uyumlaştırılması ve 2015 yılında uygulanması ön görülmektedir. </w:t>
      </w:r>
    </w:p>
    <w:p w:rsidR="001C6BDB" w:rsidRDefault="001C6BDB" w:rsidP="00C7559D">
      <w:pPr>
        <w:jc w:val="both"/>
        <w:rPr>
          <w:rFonts w:ascii="Times New Roman" w:eastAsia="Times New Roman" w:hAnsi="Times New Roman" w:cs="Times New Roman"/>
          <w:b/>
          <w:bCs/>
          <w:color w:val="000000"/>
          <w:sz w:val="24"/>
          <w:szCs w:val="24"/>
          <w:lang w:eastAsia="tr-TR"/>
        </w:rPr>
      </w:pPr>
    </w:p>
    <w:p w:rsidR="005C7CBB" w:rsidRPr="00C7559D" w:rsidRDefault="001C6BDB" w:rsidP="00C7559D">
      <w:pPr>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 xml:space="preserve">16- </w:t>
      </w:r>
      <w:r w:rsidR="005C7CBB" w:rsidRPr="00C7559D">
        <w:rPr>
          <w:rFonts w:ascii="Times New Roman" w:eastAsia="Times New Roman" w:hAnsi="Times New Roman" w:cs="Times New Roman"/>
          <w:b/>
          <w:bCs/>
          <w:color w:val="000000"/>
          <w:sz w:val="24"/>
          <w:szCs w:val="24"/>
          <w:lang w:eastAsia="tr-TR"/>
        </w:rPr>
        <w:t>EMİSYON TİCARET SİSTEMİ, MRV</w:t>
      </w:r>
    </w:p>
    <w:p w:rsidR="005C7CBB" w:rsidRPr="005C7CBB" w:rsidRDefault="005C7CBB" w:rsidP="005C7CBB">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İklimdeki değişimlerin gözle görünür hale gelmesi ve bu değişimlerin insan kaynaklı faaliyetler sonucu ortaya çıktığını destekleyen bilimsel çalışmaların artması sonucunda ülkeler 1992 yılında Rio Dünya Zirvesi olarak anılan toplantıda bir araya gelip Birleşmiş Milletler İklim Değişikliği Çerçeve Sözleşmesini hazırlamışlardır. 1997 yılında Sözleşme’nin Kyoto Protokolü hazırlanmış ve Sözleşme’nin Ek-1 listesinde bulunan ülkelere sayısal sera gazı azaltım yükümlülükleri vererek 2005 yılında yürürlüğe girmiştir.</w:t>
      </w:r>
    </w:p>
    <w:p w:rsidR="005C7CBB" w:rsidRPr="005C7CBB" w:rsidRDefault="005C7CBB" w:rsidP="005C7CBB">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p>
    <w:p w:rsidR="005C7CBB" w:rsidRPr="005C7CBB" w:rsidRDefault="005C7CBB" w:rsidP="005C7CBB">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 xml:space="preserve">Türkiye; Protokolün ilk yükümlülük döneminde (2008–2012) sayısallaştırılmış sera gazı salım azaltım yükümlülüğü almadığı için bu mekanizmadan yararlanamamaktadır. Kyoto Protokolü altında yürüyen bu mekanizmalardan bağımsız olarak yürüyen, Gönüllü Karbon Pazarı ülkemizde 2012 yılına kadar uygulanabilen tek seçenektir. </w:t>
      </w:r>
    </w:p>
    <w:p w:rsidR="005C7CBB" w:rsidRPr="005C7CBB" w:rsidRDefault="005C7CBB" w:rsidP="005C7CBB">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p>
    <w:p w:rsidR="005C7CBB" w:rsidRPr="005C7CBB" w:rsidRDefault="005C7CBB" w:rsidP="005C7CBB">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 xml:space="preserve">Kyoto Protokolü, Tarafların emisyon sınırlama veya azaltım yükümlülüklerini yerine getirmelerini kolaylaştırmak üzere ulusal önlemlerini destekleyici nitelikte esneklik mekanizmalarını oluşturmuştur. Bu mekanizmalar, Emisyon Ticareti (Emission Trade), Temiz Kalkınma Mekanizması (Clean Development Mechanism) ve Ortak Yürütme (Joint Implementation)’den meydana gelmektedir. </w:t>
      </w:r>
    </w:p>
    <w:p w:rsidR="005C7CBB" w:rsidRPr="005C7CBB" w:rsidRDefault="005C7CBB" w:rsidP="005C7CBB">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p>
    <w:p w:rsidR="005C7CBB" w:rsidRPr="005C7CBB" w:rsidRDefault="005C7CBB" w:rsidP="005C7CBB">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Piyasa temelli esneklik mekanizması olan Emisyon Ticaret Sistemi (ETS), Kyoto Protokolü altında sayısallaştırılmış emisyon azaltım yükümlülüğü alan ülkelere emisyon hedeflerini gerçekleştirmelerinde kolaylık sunmaktadır. Protokol’e taraf ülkeler arasında gerçekleştirilen emisyon ticaret sistemi, emisyon azaltım yükümlülüğüne göre daha fazla azaltım sağlayan taraf ülkenin ilave azaltımlarını başka ülkeye satma hakkını sağlar. Bunun yanı sıra, bölgesel ve ülke çaplı geliştirilen ETS’ler de bulunmaktadır.</w:t>
      </w:r>
    </w:p>
    <w:p w:rsidR="005C7CBB" w:rsidRPr="005C7CBB" w:rsidRDefault="005C7CBB" w:rsidP="005C7CBB">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p>
    <w:p w:rsidR="005C7CBB" w:rsidRPr="005C7CBB" w:rsidRDefault="005C7CBB" w:rsidP="005C7CBB">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 xml:space="preserve">Sistem, 25 Ekim 2003’de yayımlanan 2003/87/EC no’lu AB Direktifi esas alınarak kurulmuştur. 2005 yılında uygulanmaya başlayan sistemde her emisyon salınımcıya atanan AB emisyon tahsislerinin (EUA) miktarı üye ülkeler tarafından hazırlanan ve Avrupa Komisyonu tarafından onaylanan Ulusal Tahsis Planlarında belirlenmiştir. </w:t>
      </w:r>
    </w:p>
    <w:p w:rsidR="005C7CBB" w:rsidRPr="005C7CBB" w:rsidRDefault="005C7CBB" w:rsidP="005C7CBB">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p>
    <w:p w:rsidR="005C7CBB" w:rsidRPr="005C7CBB" w:rsidRDefault="005C7CBB" w:rsidP="005C7CBB">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Sistem dört ana prensip esasında çalışmaktadır:</w:t>
      </w:r>
    </w:p>
    <w:p w:rsidR="005C7CBB" w:rsidRPr="005C7CBB" w:rsidRDefault="005C7CBB" w:rsidP="005C7CBB">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 ‘Sınırla ve pazarla’ sistemi (cap-and-trade)</w:t>
      </w:r>
    </w:p>
    <w:p w:rsidR="005C7CBB" w:rsidRPr="005C7CBB" w:rsidRDefault="005C7CBB" w:rsidP="005C7CBB">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 İlgili sektörlerden katılımın zorunluluğu</w:t>
      </w:r>
    </w:p>
    <w:p w:rsidR="005C7CBB" w:rsidRPr="005C7CBB" w:rsidRDefault="005C7CBB" w:rsidP="005C7CBB">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 Güçlü uyum çerçevesi</w:t>
      </w:r>
    </w:p>
    <w:p w:rsidR="005C7CBB" w:rsidRPr="005C7CBB" w:rsidRDefault="005C7CBB" w:rsidP="005C7CBB">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 Kyoto Protokolü kapsamında tarafların emisyon sınırlama veya azaltım yükümlülüklerini kolaylaştırmaları amacıyla ulusal düzenlemeleri destekleyici mekanizmalar:</w:t>
      </w:r>
    </w:p>
    <w:p w:rsidR="005C7CBB" w:rsidRPr="005C7CBB" w:rsidRDefault="005C7CBB" w:rsidP="005C7CBB">
      <w:pPr>
        <w:pStyle w:val="ListeParagraf"/>
        <w:jc w:val="both"/>
        <w:rPr>
          <w:rFonts w:ascii="Times New Roman" w:eastAsia="Times New Roman" w:hAnsi="Times New Roman" w:cs="Times New Roman"/>
          <w:color w:val="000000"/>
          <w:sz w:val="24"/>
          <w:szCs w:val="24"/>
          <w:lang w:eastAsia="tr-TR"/>
        </w:rPr>
      </w:pPr>
    </w:p>
    <w:p w:rsidR="005C7CBB" w:rsidRPr="005C7CBB" w:rsidRDefault="005C7CBB" w:rsidP="005C7CBB">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lastRenderedPageBreak/>
        <w:t>Emisyon Ticareti (Emission Trade - ET), Temiz Kalkınma Mekanizması (Clean Development Mechanism - CDM) ve Ortak Yürütme (Joint Implementation - JI). ETS içinde, Yönerge tarafından belirlenen tesisler (genelde enerji santralleri,   büyük yakma tesisleri, petrol rafinerileri, kok fırınları, demir-çelik fabrikaları,  çimento fabrikaları gibi yüksek karbondioksit yayan tesisler) için azami emisyon salınım izinleri verilir. Üye ülkeler için belirlenmiş izinler yıllık olarak Avrupa Komisyonu tarafından belirlenir. Üye ülkeler de ülke içindeki tesislere ücretsiz salınım hakkı vermektedir. Sistemin özünü oluşturan kısımda ise, yıl sonunda bu izinleri aşmayan tesisler, sınırları aşan tesislere artakalan miktarları satabilmektedir. Fiyatlandırma, o yıldaki arz ve talebe göre değişmektedir.</w:t>
      </w:r>
    </w:p>
    <w:p w:rsidR="005C7CBB" w:rsidRPr="005C7CBB" w:rsidRDefault="005C7CBB" w:rsidP="005C7CBB">
      <w:pPr>
        <w:pStyle w:val="ListeParagraf"/>
        <w:jc w:val="both"/>
        <w:rPr>
          <w:rFonts w:ascii="Times New Roman" w:eastAsia="Times New Roman" w:hAnsi="Times New Roman" w:cs="Times New Roman"/>
          <w:color w:val="000000"/>
          <w:sz w:val="24"/>
          <w:szCs w:val="24"/>
          <w:lang w:eastAsia="tr-TR"/>
        </w:rPr>
      </w:pPr>
    </w:p>
    <w:p w:rsidR="005C7CBB" w:rsidRPr="005C7CBB" w:rsidRDefault="005C7CBB" w:rsidP="005C7CBB">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Salınım izinleri birkaç uygulama dönemine ayrılmıştır:</w:t>
      </w:r>
    </w:p>
    <w:p w:rsidR="005C7CBB" w:rsidRPr="005C7CBB" w:rsidRDefault="005C7CBB" w:rsidP="005C7CBB">
      <w:pPr>
        <w:pStyle w:val="ListeParagraf"/>
        <w:jc w:val="both"/>
        <w:rPr>
          <w:rFonts w:ascii="Times New Roman" w:eastAsia="Times New Roman" w:hAnsi="Times New Roman" w:cs="Times New Roman"/>
          <w:color w:val="000000"/>
          <w:sz w:val="24"/>
          <w:szCs w:val="24"/>
          <w:lang w:eastAsia="tr-TR"/>
        </w:rPr>
      </w:pPr>
    </w:p>
    <w:p w:rsidR="005C7CBB" w:rsidRPr="005C7CBB" w:rsidRDefault="005C7CBB" w:rsidP="005C7CBB">
      <w:pPr>
        <w:pStyle w:val="ListeParagraf"/>
        <w:numPr>
          <w:ilvl w:val="1"/>
          <w:numId w:val="11"/>
        </w:numPr>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2005-2007: Birinci faz ‘öğrenme dönemi’</w:t>
      </w:r>
    </w:p>
    <w:p w:rsidR="005C7CBB" w:rsidRPr="005C7CBB" w:rsidRDefault="005C7CBB" w:rsidP="005C7CBB">
      <w:pPr>
        <w:pStyle w:val="ListeParagraf"/>
        <w:numPr>
          <w:ilvl w:val="1"/>
          <w:numId w:val="11"/>
        </w:numPr>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2008-2012: İkinci faz - Kyoto Protokolü’nün ilk evresi kapsamında daha sıkı önlemler ve sınırlamalar getirilmiştir.</w:t>
      </w:r>
    </w:p>
    <w:p w:rsidR="005C7CBB" w:rsidRPr="005C7CBB" w:rsidRDefault="005C7CBB" w:rsidP="005C7CBB">
      <w:pPr>
        <w:pStyle w:val="ListeParagraf"/>
        <w:numPr>
          <w:ilvl w:val="1"/>
          <w:numId w:val="11"/>
        </w:numPr>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2013-2020: Revizyon çalışmaları başlamıştır.</w:t>
      </w:r>
    </w:p>
    <w:p w:rsidR="005C7CBB" w:rsidRPr="005C7CBB" w:rsidRDefault="005C7CBB" w:rsidP="005C7CBB">
      <w:pPr>
        <w:pStyle w:val="ListeParagraf"/>
        <w:jc w:val="both"/>
        <w:rPr>
          <w:rFonts w:ascii="Times New Roman" w:eastAsia="Times New Roman" w:hAnsi="Times New Roman" w:cs="Times New Roman"/>
          <w:color w:val="000000"/>
          <w:sz w:val="24"/>
          <w:szCs w:val="24"/>
          <w:lang w:eastAsia="tr-TR"/>
        </w:rPr>
      </w:pPr>
    </w:p>
    <w:p w:rsidR="005C7CBB" w:rsidRPr="005C7CBB" w:rsidRDefault="005C7CBB" w:rsidP="005C7CBB">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AB ETS Kyoto Protokolü’nü onaylayan üçüncü ülkelerle de ‘sınırla ve pazarla’ ilkesini geliştirmektedir.</w:t>
      </w:r>
    </w:p>
    <w:p w:rsidR="005C7CBB" w:rsidRPr="005C7CBB" w:rsidRDefault="005C7CBB" w:rsidP="005C7CBB">
      <w:pPr>
        <w:pStyle w:val="ListeParagraf"/>
        <w:jc w:val="both"/>
        <w:rPr>
          <w:rFonts w:ascii="Times New Roman" w:eastAsia="Times New Roman" w:hAnsi="Times New Roman" w:cs="Times New Roman"/>
          <w:color w:val="000000"/>
          <w:sz w:val="24"/>
          <w:szCs w:val="24"/>
          <w:lang w:eastAsia="tr-TR"/>
        </w:rPr>
      </w:pPr>
    </w:p>
    <w:p w:rsidR="005C7CBB" w:rsidRPr="005C7CBB" w:rsidRDefault="005C7CBB" w:rsidP="005C7CBB">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Durban’da yapılan iklim görüşmelerinde 2012 sonrası dönemde sadece gelişmiş ve gelişmekte olan ülkeler değil, tüm ülkelerin azaltım taahhüdü vereceği yeni bir iklim rejimi dizayn edilmesi gerektiği ifade edilmiş, bu kapsamda 2015 yılında yeni bir hukuki metin üzerinde anlaşma sağlanması ve bu yeni sistemin 2020 yılında yürürlüğe girmesi hedeflenmektedir.</w:t>
      </w:r>
    </w:p>
    <w:p w:rsidR="005C7CBB" w:rsidRPr="005C7CBB" w:rsidRDefault="005C7CBB" w:rsidP="005C7CBB">
      <w:pPr>
        <w:pStyle w:val="ListeParagraf"/>
        <w:jc w:val="both"/>
        <w:rPr>
          <w:rFonts w:ascii="Times New Roman" w:eastAsia="Times New Roman" w:hAnsi="Times New Roman" w:cs="Times New Roman"/>
          <w:color w:val="000000"/>
          <w:sz w:val="24"/>
          <w:szCs w:val="24"/>
          <w:lang w:eastAsia="tr-TR"/>
        </w:rPr>
      </w:pPr>
    </w:p>
    <w:p w:rsidR="005C7CBB" w:rsidRPr="005C7CBB" w:rsidRDefault="005C7CBB" w:rsidP="005C7CBB">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Ayrıca emisyon azaltımı, iklim değişikliği, kapasite oluşturma ve destekler konuları da Durban toplantısı gündeminde yer almıştır. Bu konudaki çalışmaların devam edeceği ifade edilmiştir. İklim, bu toplantıdan itibaren artık bir kalkınma sorunu olarak ele alınmaya başlamıştır.</w:t>
      </w:r>
    </w:p>
    <w:p w:rsidR="005C7CBB" w:rsidRPr="005C7CBB" w:rsidRDefault="005C7CBB" w:rsidP="005C7CBB">
      <w:pPr>
        <w:pStyle w:val="ListeParagraf"/>
        <w:jc w:val="both"/>
        <w:rPr>
          <w:rFonts w:ascii="Times New Roman" w:eastAsia="Times New Roman" w:hAnsi="Times New Roman" w:cs="Times New Roman"/>
          <w:color w:val="000000"/>
          <w:sz w:val="24"/>
          <w:szCs w:val="24"/>
          <w:lang w:eastAsia="tr-TR"/>
        </w:rPr>
      </w:pPr>
    </w:p>
    <w:p w:rsidR="005C7CBB" w:rsidRPr="005C7CBB" w:rsidRDefault="005C7CBB" w:rsidP="005C7CBB">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Ölçülebilir, doğrulanabilir, raporlanabilir sistem kurulmasının güvenilir veri toplanmasını sağlayabileceği, bunun da doğru politikalar üretmeye katkı sağlayacağı bildirilmiştir.</w:t>
      </w:r>
    </w:p>
    <w:p w:rsidR="005C7CBB" w:rsidRPr="005C7CBB" w:rsidRDefault="005C7CBB" w:rsidP="005C7CBB">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p>
    <w:p w:rsidR="005C7CBB" w:rsidRPr="005C7CBB" w:rsidRDefault="005C7CBB" w:rsidP="005C7CBB">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Ülkemizde Emisyon Ticaret Sistemi’ne yönelik yapılan çalışmalar kapsamında ilk olarak hazırlanan “Ulusal İklim Değişikliği Strateji Belgesi” ile ilgili sektörlerde sera gazı emisyonu kontrolü ve iklim değişikliğine uyuma yönelik ilkeler ve stratejik hedeflerin belirlenmiş, bu Strateji Belgesi’nin uygulamaya geçebilmesi için İklim Değişikliği Eylem Planının (İDEP) tamamlanmıştır.</w:t>
      </w:r>
    </w:p>
    <w:p w:rsidR="005C7CBB" w:rsidRPr="005C7CBB" w:rsidRDefault="005C7CBB" w:rsidP="005C7CBB">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p>
    <w:p w:rsidR="005C7CBB" w:rsidRPr="005C7CBB" w:rsidRDefault="005C7CBB" w:rsidP="005C7CBB">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 xml:space="preserve">Özel konumu nedeniyle Kyoto Protokolü’nün emisyon ticareti mekanizmalarından yararlanamayan ülkemizde, Gönüllü Karbon Piyasası’nda çoğu hidroelektrik, rüzgar ve jeotermal gibi yenilenebilir enerji alanlarında olan 170’in üzerinde proje geliştirilmiştir, bu projelerin kayıt altına alınmasına ilişkin karbon sicili oluşturulmuştur. </w:t>
      </w:r>
    </w:p>
    <w:p w:rsidR="005C7CBB" w:rsidRPr="005C7CBB" w:rsidRDefault="005C7CBB" w:rsidP="005C7CBB">
      <w:pPr>
        <w:pStyle w:val="ListeParagraf"/>
        <w:jc w:val="both"/>
        <w:rPr>
          <w:rFonts w:ascii="Times New Roman" w:eastAsia="Times New Roman" w:hAnsi="Times New Roman" w:cs="Times New Roman"/>
          <w:color w:val="000000"/>
          <w:sz w:val="24"/>
          <w:szCs w:val="24"/>
          <w:lang w:eastAsia="tr-TR"/>
        </w:rPr>
      </w:pPr>
    </w:p>
    <w:p w:rsidR="005C7CBB" w:rsidRPr="005C7CBB" w:rsidRDefault="005C7CBB" w:rsidP="005C7CBB">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 xml:space="preserve"> 2012 sonrası dönem için karbon piyasasının oluşturulması sürecinde, bu konuda öncü, ülkemizin de içinde bulunduğu ve 25 devletin Dünya Bankası aracılığıyla bir araya gelerek oluşturulan “Karbon Piyasasına Hazırlık Ortaklığı-PMR” sayesinde Türkiye’nin ihtiyaç duyduğu kapasite geliştirme faaliyetleri için hibe kaynaklara erişim imkanına sahip olmuş ve ülkenin karbon varlıklarının azami değerinden işlem görmesi için gerekli uluslararası işbirliği fırsatlarını yakalamıştır. </w:t>
      </w:r>
    </w:p>
    <w:p w:rsidR="005C7CBB" w:rsidRPr="005C7CBB" w:rsidRDefault="001C6BDB" w:rsidP="005C7CBB">
      <w:pPr>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005C7CBB" w:rsidRPr="005C7CBB">
        <w:rPr>
          <w:rFonts w:ascii="Times New Roman" w:eastAsia="Times New Roman" w:hAnsi="Times New Roman" w:cs="Times New Roman"/>
          <w:color w:val="000000"/>
          <w:sz w:val="24"/>
          <w:szCs w:val="24"/>
          <w:lang w:eastAsia="tr-TR"/>
        </w:rPr>
        <w:t>Bu kapsamda yapılacak çalışmalar şunlardır:</w:t>
      </w:r>
    </w:p>
    <w:p w:rsidR="00410375" w:rsidRPr="005C7CBB" w:rsidRDefault="005C7CBB" w:rsidP="005C7CBB">
      <w:pPr>
        <w:pStyle w:val="ListeParagraf"/>
        <w:numPr>
          <w:ilvl w:val="0"/>
          <w:numId w:val="18"/>
        </w:numPr>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 xml:space="preserve">Mevcut durum analizi ve sektörlerde izleme, raporlama ve doğrulama (MRV) sisteminin uygulanması, doğrulama kapasitesi ve kamu kurumları için ihtiyaç analizi; </w:t>
      </w:r>
    </w:p>
    <w:p w:rsidR="00410375" w:rsidRPr="005C7CBB" w:rsidRDefault="005C7CBB" w:rsidP="005C7CBB">
      <w:pPr>
        <w:pStyle w:val="ListeParagraf"/>
        <w:numPr>
          <w:ilvl w:val="0"/>
          <w:numId w:val="18"/>
        </w:numPr>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 xml:space="preserve">MRV sisteminin işletilmesine yönelik kapasitenin geliştirilmesi için önerilen ayrıntılı eylemlerin hazırlanması; </w:t>
      </w:r>
    </w:p>
    <w:p w:rsidR="00410375" w:rsidRPr="005C7CBB" w:rsidRDefault="005C7CBB" w:rsidP="005C7CBB">
      <w:pPr>
        <w:pStyle w:val="ListeParagraf"/>
        <w:numPr>
          <w:ilvl w:val="0"/>
          <w:numId w:val="18"/>
        </w:numPr>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 xml:space="preserve">Örnek MRV raporlarının ve şablonlarının geliştirilmesi; ve </w:t>
      </w:r>
    </w:p>
    <w:p w:rsidR="00410375" w:rsidRPr="005C7CBB" w:rsidRDefault="005C7CBB" w:rsidP="005C7CBB">
      <w:pPr>
        <w:pStyle w:val="ListeParagraf"/>
        <w:numPr>
          <w:ilvl w:val="0"/>
          <w:numId w:val="18"/>
        </w:numPr>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 xml:space="preserve">Pazar mekanizmalarının uygulanmasının etki analizi ve fayda-maliyet analizlerinin yapılmasının yanı sıra bu tür sistemlerin işletilmesi için önerilen ayrıntılı eylemlerin hazırlanması. </w:t>
      </w:r>
    </w:p>
    <w:p w:rsidR="00410375" w:rsidRPr="005C7CBB" w:rsidRDefault="005C7CBB" w:rsidP="005C7CBB">
      <w:pPr>
        <w:pStyle w:val="ListeParagraf"/>
        <w:numPr>
          <w:ilvl w:val="0"/>
          <w:numId w:val="18"/>
        </w:numPr>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 xml:space="preserve">İzleme, Doğrulama ve Raporlama (MRV) Sisteminin Kurulması </w:t>
      </w:r>
    </w:p>
    <w:p w:rsidR="00410375" w:rsidRPr="005C7CBB" w:rsidRDefault="005C7CBB" w:rsidP="005C7CBB">
      <w:pPr>
        <w:pStyle w:val="ListeParagraf"/>
        <w:numPr>
          <w:ilvl w:val="0"/>
          <w:numId w:val="19"/>
        </w:numPr>
        <w:tabs>
          <w:tab w:val="left" w:pos="993"/>
        </w:tabs>
        <w:ind w:hanging="11"/>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 xml:space="preserve">AB Emisyon Ticareti ile uyumlu tesis seviyesinde izleme yapılması </w:t>
      </w:r>
    </w:p>
    <w:p w:rsidR="00410375" w:rsidRPr="005C7CBB" w:rsidRDefault="005C7CBB" w:rsidP="005C7CBB">
      <w:pPr>
        <w:pStyle w:val="ListeParagraf"/>
        <w:numPr>
          <w:ilvl w:val="0"/>
          <w:numId w:val="19"/>
        </w:numPr>
        <w:tabs>
          <w:tab w:val="left" w:pos="993"/>
        </w:tabs>
        <w:ind w:hanging="11"/>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 xml:space="preserve">Doğrulama ve Raporlama </w:t>
      </w:r>
    </w:p>
    <w:p w:rsidR="00410375" w:rsidRPr="005C7CBB" w:rsidRDefault="005C7CBB" w:rsidP="005C7CBB">
      <w:pPr>
        <w:pStyle w:val="ListeParagraf"/>
        <w:numPr>
          <w:ilvl w:val="0"/>
          <w:numId w:val="19"/>
        </w:numPr>
        <w:tabs>
          <w:tab w:val="left" w:pos="993"/>
        </w:tabs>
        <w:ind w:hanging="11"/>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 xml:space="preserve">Bilgi alışverişinin geliştirilmesi </w:t>
      </w:r>
    </w:p>
    <w:p w:rsidR="005C7CBB" w:rsidRPr="005C7CBB" w:rsidRDefault="005C7CBB" w:rsidP="005C7CBB">
      <w:pPr>
        <w:pStyle w:val="ListeParagraf"/>
        <w:jc w:val="both"/>
        <w:rPr>
          <w:rFonts w:ascii="Times New Roman" w:eastAsia="Times New Roman" w:hAnsi="Times New Roman" w:cs="Times New Roman"/>
          <w:color w:val="000000"/>
          <w:sz w:val="24"/>
          <w:szCs w:val="24"/>
          <w:lang w:eastAsia="tr-TR"/>
        </w:rPr>
      </w:pPr>
    </w:p>
    <w:p w:rsidR="00410375" w:rsidRPr="005C7CBB" w:rsidRDefault="005C7CBB" w:rsidP="005C7CBB">
      <w:pPr>
        <w:pStyle w:val="ListeParagraf"/>
        <w:numPr>
          <w:ilvl w:val="0"/>
          <w:numId w:val="18"/>
        </w:numPr>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 xml:space="preserve">Kapasite Geliştirme </w:t>
      </w:r>
    </w:p>
    <w:p w:rsidR="00410375" w:rsidRPr="005C7CBB" w:rsidRDefault="005C7CBB" w:rsidP="005C7CBB">
      <w:pPr>
        <w:pStyle w:val="ListeParagraf"/>
        <w:numPr>
          <w:ilvl w:val="0"/>
          <w:numId w:val="19"/>
        </w:numPr>
        <w:tabs>
          <w:tab w:val="left" w:pos="993"/>
        </w:tabs>
        <w:ind w:hanging="11"/>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MRV çalışmalarının, analizlerinin yapılması, kılavuz d</w:t>
      </w:r>
      <w:r>
        <w:rPr>
          <w:rFonts w:ascii="Times New Roman" w:eastAsia="Times New Roman" w:hAnsi="Times New Roman" w:cs="Times New Roman"/>
          <w:color w:val="000000"/>
          <w:sz w:val="24"/>
          <w:szCs w:val="24"/>
          <w:lang w:eastAsia="tr-TR"/>
        </w:rPr>
        <w:t>okümanların hazırlanması</w:t>
      </w:r>
    </w:p>
    <w:p w:rsidR="00410375" w:rsidRPr="005C7CBB" w:rsidRDefault="005C7CBB" w:rsidP="005C7CBB">
      <w:pPr>
        <w:pStyle w:val="ListeParagraf"/>
        <w:numPr>
          <w:ilvl w:val="0"/>
          <w:numId w:val="19"/>
        </w:numPr>
        <w:tabs>
          <w:tab w:val="left" w:pos="993"/>
        </w:tabs>
        <w:ind w:hanging="11"/>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 xml:space="preserve">Kamuda ve özel sektörde kapasitenin geliştirilmesi </w:t>
      </w:r>
    </w:p>
    <w:p w:rsidR="00410375" w:rsidRPr="005C7CBB" w:rsidRDefault="005C7CBB" w:rsidP="005C7CBB">
      <w:pPr>
        <w:pStyle w:val="ListeParagraf"/>
        <w:numPr>
          <w:ilvl w:val="0"/>
          <w:numId w:val="19"/>
        </w:numPr>
        <w:tabs>
          <w:tab w:val="left" w:pos="993"/>
        </w:tabs>
        <w:ind w:hanging="11"/>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 xml:space="preserve">Doğrulama ve raporlama konusunda kapasitenin geliştirilmesi </w:t>
      </w:r>
    </w:p>
    <w:p w:rsidR="00410375" w:rsidRPr="005C7CBB" w:rsidRDefault="005C7CBB" w:rsidP="005C7CBB">
      <w:pPr>
        <w:pStyle w:val="ListeParagraf"/>
        <w:numPr>
          <w:ilvl w:val="0"/>
          <w:numId w:val="19"/>
        </w:numPr>
        <w:tabs>
          <w:tab w:val="left" w:pos="993"/>
        </w:tabs>
        <w:ind w:hanging="11"/>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 xml:space="preserve">Sürekli bilgi alışverişi için gerekli yapının kurulması </w:t>
      </w:r>
    </w:p>
    <w:p w:rsidR="005C7CBB" w:rsidRPr="005C7CBB" w:rsidRDefault="005C7CBB" w:rsidP="005C7CBB">
      <w:pPr>
        <w:pStyle w:val="ListeParagraf"/>
        <w:jc w:val="both"/>
        <w:rPr>
          <w:rFonts w:ascii="Times New Roman" w:eastAsia="Times New Roman" w:hAnsi="Times New Roman" w:cs="Times New Roman"/>
          <w:color w:val="000000"/>
          <w:sz w:val="24"/>
          <w:szCs w:val="24"/>
          <w:lang w:eastAsia="tr-TR"/>
        </w:rPr>
      </w:pPr>
    </w:p>
    <w:p w:rsidR="00410375" w:rsidRPr="005C7CBB" w:rsidRDefault="005C7CBB" w:rsidP="005C7CBB">
      <w:pPr>
        <w:pStyle w:val="ListeParagraf"/>
        <w:numPr>
          <w:ilvl w:val="0"/>
          <w:numId w:val="18"/>
        </w:numPr>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 xml:space="preserve">Pilot Çalışma-bütçe yeterli olursa: </w:t>
      </w:r>
    </w:p>
    <w:p w:rsidR="00410375" w:rsidRPr="005C7CBB" w:rsidRDefault="005C7CBB" w:rsidP="005C7CBB">
      <w:pPr>
        <w:pStyle w:val="ListeParagraf"/>
        <w:numPr>
          <w:ilvl w:val="0"/>
          <w:numId w:val="19"/>
        </w:numPr>
        <w:tabs>
          <w:tab w:val="left" w:pos="993"/>
        </w:tabs>
        <w:ind w:hanging="11"/>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 xml:space="preserve">Sektörel kredilendirme ve Ticaret Sistemleri için seçeneklerin araştırılması </w:t>
      </w:r>
    </w:p>
    <w:p w:rsidR="00410375" w:rsidRPr="005C7CBB" w:rsidRDefault="005C7CBB" w:rsidP="005C7CBB">
      <w:pPr>
        <w:pStyle w:val="ListeParagraf"/>
        <w:numPr>
          <w:ilvl w:val="0"/>
          <w:numId w:val="19"/>
        </w:numPr>
        <w:tabs>
          <w:tab w:val="left" w:pos="993"/>
        </w:tabs>
        <w:ind w:hanging="11"/>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 xml:space="preserve">Bir borsa altında pilot karbon pazarının kurulması </w:t>
      </w:r>
    </w:p>
    <w:p w:rsidR="005C7CBB" w:rsidRPr="005C7CBB" w:rsidRDefault="005C7CBB" w:rsidP="005C7CBB">
      <w:pPr>
        <w:pStyle w:val="ListeParagraf"/>
        <w:jc w:val="both"/>
        <w:rPr>
          <w:rFonts w:ascii="Times New Roman" w:eastAsia="Times New Roman" w:hAnsi="Times New Roman" w:cs="Times New Roman"/>
          <w:color w:val="000000"/>
          <w:sz w:val="24"/>
          <w:szCs w:val="24"/>
          <w:lang w:eastAsia="tr-TR"/>
        </w:rPr>
      </w:pPr>
    </w:p>
    <w:p w:rsidR="005C7CBB" w:rsidRPr="005C7CBB" w:rsidRDefault="005C7CBB" w:rsidP="005C7CBB">
      <w:pPr>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 xml:space="preserve">İklim değişikliği ile mücadele kapsamında önemli bir adım olan ve Çevre ve Şehircilik Bakanlığı tarafından hazırlanan “Sera Gazı Emisyonlarının Takibi Hakkında Yönetmelik” 25 Nisan 2012 tarih ve 28274 sayılı Resmi Gazete’de ile yayımlanarak yürürlüğe girmiştir.  </w:t>
      </w:r>
    </w:p>
    <w:p w:rsidR="005C7CBB" w:rsidRPr="005C7CBB" w:rsidRDefault="005C7CBB" w:rsidP="005C7CBB">
      <w:pPr>
        <w:pStyle w:val="ListeParagraf"/>
        <w:jc w:val="both"/>
        <w:rPr>
          <w:rFonts w:ascii="Times New Roman" w:eastAsia="Times New Roman" w:hAnsi="Times New Roman" w:cs="Times New Roman"/>
          <w:color w:val="000000"/>
          <w:sz w:val="24"/>
          <w:szCs w:val="24"/>
          <w:lang w:eastAsia="tr-TR"/>
        </w:rPr>
      </w:pPr>
    </w:p>
    <w:p w:rsidR="005C7CBB" w:rsidRPr="005C7CBB" w:rsidRDefault="005C7CBB" w:rsidP="005C7CBB">
      <w:pPr>
        <w:pStyle w:val="ListeParagraf"/>
        <w:autoSpaceDE w:val="0"/>
        <w:autoSpaceDN w:val="0"/>
        <w:adjustRightInd w:val="0"/>
        <w:spacing w:after="0"/>
        <w:ind w:hanging="720"/>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object w:dxaOrig="7123" w:dyaOrig="5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75pt;height:347.25pt" o:ole="" o:bordertopcolor="this" o:borderleftcolor="this" o:borderbottomcolor="this" o:borderrightcolor="this">
            <v:imagedata r:id="rId26" o:title=""/>
            <w10:bordertop type="single" width="4"/>
            <w10:borderleft type="single" width="4"/>
            <w10:borderbottom type="single" width="4"/>
            <w10:borderright type="single" width="4"/>
          </v:shape>
          <o:OLEObject Type="Embed" ProgID="PowerPoint.Slide.12" ShapeID="_x0000_i1025" DrawAspect="Content" ObjectID="_1403092360" r:id="rId27"/>
        </w:object>
      </w:r>
    </w:p>
    <w:p w:rsidR="005C7CBB" w:rsidRPr="005C7CBB" w:rsidRDefault="005C7CBB" w:rsidP="005C7CBB">
      <w:pPr>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Yönetmeliğin amacı Kyoto Protokolü Ek.I listesinde yer alan (ulusal sera gazı emisyonlarının önemli bir kısmını teşkil eden elektrik ve buhar üretimi, çimento, demir-çelik, seramik, kireç, kağıt ve cam üretimi gibi) faaliyetlerden kaynaklanan sera gazı emisyonlarının izlenmesi, doğrulanması ve raporlanmasıdır.</w:t>
      </w:r>
    </w:p>
    <w:p w:rsidR="005C7CBB" w:rsidRPr="005C7CBB" w:rsidRDefault="005C7CBB" w:rsidP="005C7CBB">
      <w:pPr>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Yönetmelik ile;</w:t>
      </w:r>
    </w:p>
    <w:p w:rsidR="005C7CBB" w:rsidRPr="005C7CBB" w:rsidRDefault="005C7CBB" w:rsidP="005C7CBB">
      <w:pPr>
        <w:pStyle w:val="ListeParagraf"/>
        <w:numPr>
          <w:ilvl w:val="0"/>
          <w:numId w:val="15"/>
        </w:numPr>
        <w:autoSpaceDE w:val="0"/>
        <w:autoSpaceDN w:val="0"/>
        <w:adjustRightInd w:val="0"/>
        <w:spacing w:after="0"/>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Ulusal emisyonların yaklaşık %50’si tesis seviyesinde, çok hassas bir şekilde izlenmeye başlanacaktır,</w:t>
      </w:r>
    </w:p>
    <w:p w:rsidR="005C7CBB" w:rsidRPr="005C7CBB" w:rsidRDefault="005C7CBB" w:rsidP="005C7CBB">
      <w:pPr>
        <w:pStyle w:val="ListeParagraf"/>
        <w:numPr>
          <w:ilvl w:val="0"/>
          <w:numId w:val="15"/>
        </w:numPr>
        <w:autoSpaceDE w:val="0"/>
        <w:autoSpaceDN w:val="0"/>
        <w:adjustRightInd w:val="0"/>
        <w:spacing w:after="0"/>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Tahminen 2000 adet tesis, izleme, doğrulama ve raporlama sürecine tabi olacaktır</w:t>
      </w:r>
    </w:p>
    <w:p w:rsidR="005C7CBB" w:rsidRPr="005C7CBB" w:rsidRDefault="005C7CBB" w:rsidP="005C7CBB">
      <w:pPr>
        <w:pStyle w:val="ListeParagraf"/>
        <w:numPr>
          <w:ilvl w:val="0"/>
          <w:numId w:val="15"/>
        </w:numPr>
        <w:autoSpaceDE w:val="0"/>
        <w:autoSpaceDN w:val="0"/>
        <w:adjustRightInd w:val="0"/>
        <w:spacing w:after="0"/>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Doğrulayıcılar vasıtası ile, tesis bazında, yerinde inceleme ve emisyon raporlarının doğruluğunun kontrolü sağlanmış olacaktır</w:t>
      </w:r>
    </w:p>
    <w:p w:rsidR="005C7CBB" w:rsidRPr="005C7CBB" w:rsidRDefault="005C7CBB" w:rsidP="005C7CBB">
      <w:pPr>
        <w:pStyle w:val="ListeParagraf"/>
        <w:numPr>
          <w:ilvl w:val="0"/>
          <w:numId w:val="15"/>
        </w:numPr>
        <w:autoSpaceDE w:val="0"/>
        <w:autoSpaceDN w:val="0"/>
        <w:adjustRightInd w:val="0"/>
        <w:spacing w:after="0"/>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İklim değişikliği ve çevre politikalarını oluşturmaya yönelik bilgi ve veri üretimi sağlanmış olacaktır (örneğin; tesis bazında teknoloji veri tabanı, emisyon faktörleri, faaliyet verileri, vb).</w:t>
      </w:r>
    </w:p>
    <w:p w:rsidR="005C7CBB" w:rsidRPr="005C7CBB" w:rsidRDefault="005C7CBB" w:rsidP="005C7CBB">
      <w:pPr>
        <w:pStyle w:val="ListeParagraf"/>
        <w:jc w:val="both"/>
        <w:rPr>
          <w:rFonts w:ascii="Times New Roman" w:eastAsia="Times New Roman" w:hAnsi="Times New Roman" w:cs="Times New Roman"/>
          <w:color w:val="000000"/>
          <w:sz w:val="24"/>
          <w:szCs w:val="24"/>
          <w:lang w:eastAsia="tr-TR"/>
        </w:rPr>
      </w:pPr>
    </w:p>
    <w:p w:rsidR="005C7CBB" w:rsidRPr="005C7CBB" w:rsidRDefault="005C7CBB" w:rsidP="005C7CBB">
      <w:pPr>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Yönetmelik kapsamında tesislerin raporlama yükümlülüğü 2016 yılında başlayacaktır. AB müzakerelerinde çevre faslının halen açık olduğu düşünülecek olursa bu konunun önemi daha da iyi anlaşılabilir.</w:t>
      </w:r>
    </w:p>
    <w:p w:rsidR="005C7CBB" w:rsidRPr="005C7CBB" w:rsidRDefault="005C7CBB" w:rsidP="005C7CBB">
      <w:pPr>
        <w:jc w:val="both"/>
        <w:rPr>
          <w:rFonts w:ascii="Times New Roman" w:eastAsia="Times New Roman" w:hAnsi="Times New Roman" w:cs="Times New Roman"/>
          <w:color w:val="000000"/>
          <w:sz w:val="24"/>
          <w:szCs w:val="24"/>
          <w:lang w:eastAsia="tr-TR"/>
        </w:rPr>
      </w:pPr>
    </w:p>
    <w:p w:rsidR="005C7CBB" w:rsidRPr="005C7CBB" w:rsidRDefault="005C7CBB" w:rsidP="005C7CBB">
      <w:pPr>
        <w:jc w:val="both"/>
        <w:rPr>
          <w:rFonts w:ascii="Times New Roman" w:eastAsia="Times New Roman" w:hAnsi="Times New Roman" w:cs="Times New Roman"/>
          <w:color w:val="000000"/>
          <w:sz w:val="24"/>
          <w:szCs w:val="24"/>
          <w:lang w:eastAsia="tr-TR"/>
        </w:rPr>
      </w:pPr>
    </w:p>
    <w:p w:rsidR="005C7CBB" w:rsidRPr="005C7CBB" w:rsidRDefault="005C7CBB" w:rsidP="005C7CBB">
      <w:pPr>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Mevzuat konusunda yapılan çalışmalar</w:t>
      </w:r>
    </w:p>
    <w:p w:rsidR="005C7CBB" w:rsidRPr="005C7CBB" w:rsidRDefault="005C7CBB" w:rsidP="005C7CBB">
      <w:pPr>
        <w:pStyle w:val="ListeParagraf"/>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imes New Roman" w:eastAsia="Times New Roman" w:hAnsi="Times New Roman" w:cs="Times New Roman"/>
          <w:color w:val="000000"/>
          <w:sz w:val="24"/>
          <w:szCs w:val="24"/>
          <w:u w:val="single"/>
          <w:lang w:eastAsia="tr-TR"/>
        </w:rPr>
      </w:pPr>
      <w:r w:rsidRPr="005C7CBB">
        <w:rPr>
          <w:rFonts w:ascii="Times New Roman" w:eastAsia="Times New Roman" w:hAnsi="Times New Roman" w:cs="Times New Roman"/>
          <w:color w:val="000000"/>
          <w:sz w:val="24"/>
          <w:szCs w:val="24"/>
          <w:u w:val="single"/>
          <w:lang w:eastAsia="tr-TR"/>
        </w:rPr>
        <w:t>Mevcut</w:t>
      </w:r>
    </w:p>
    <w:p w:rsidR="005C7CBB" w:rsidRPr="005C7CBB" w:rsidRDefault="005C7CBB" w:rsidP="005C7CBB">
      <w:pPr>
        <w:pStyle w:val="ListeParagraf"/>
        <w:numPr>
          <w:ilvl w:val="0"/>
          <w:numId w:val="17"/>
        </w:numPr>
        <w:pBdr>
          <w:top w:val="single" w:sz="4" w:space="1" w:color="auto"/>
          <w:left w:val="single" w:sz="4" w:space="4" w:color="auto"/>
          <w:bottom w:val="single" w:sz="4" w:space="1" w:color="auto"/>
          <w:right w:val="single" w:sz="4" w:space="4" w:color="auto"/>
        </w:pBdr>
        <w:autoSpaceDE w:val="0"/>
        <w:autoSpaceDN w:val="0"/>
        <w:adjustRightInd w:val="0"/>
        <w:spacing w:after="0"/>
        <w:ind w:firstLine="414"/>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 xml:space="preserve">Sera Gazı Emisyon Azaltımı Sağlayan Projelere İlişkin Sicil İşlemleri Tebliği (7/8/2010 tarihli ve 27665 sayılı Resmi Gazete) </w:t>
      </w:r>
    </w:p>
    <w:p w:rsidR="005C7CBB" w:rsidRDefault="005C7CBB" w:rsidP="005C7CBB">
      <w:pPr>
        <w:pStyle w:val="ListeParagraf"/>
        <w:numPr>
          <w:ilvl w:val="0"/>
          <w:numId w:val="17"/>
        </w:numPr>
        <w:pBdr>
          <w:top w:val="single" w:sz="4" w:space="1" w:color="auto"/>
          <w:left w:val="single" w:sz="4" w:space="4" w:color="auto"/>
          <w:bottom w:val="single" w:sz="4" w:space="1" w:color="auto"/>
          <w:right w:val="single" w:sz="4" w:space="4" w:color="auto"/>
        </w:pBdr>
        <w:autoSpaceDE w:val="0"/>
        <w:autoSpaceDN w:val="0"/>
        <w:adjustRightInd w:val="0"/>
        <w:spacing w:after="0"/>
        <w:ind w:firstLine="414"/>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Sera gazı emisyonlarının takibi (izlenmesi, doğrulanması ve raporlaması) hakkında yönetmelik (25/04/2012 tarih ve 28274 sayılı Resmi Gazete)</w:t>
      </w:r>
    </w:p>
    <w:p w:rsidR="005C7CBB" w:rsidRPr="005C7CBB" w:rsidRDefault="005C7CBB" w:rsidP="005C7CBB">
      <w:pPr>
        <w:pStyle w:val="ListeParagraf"/>
        <w:autoSpaceDE w:val="0"/>
        <w:autoSpaceDN w:val="0"/>
        <w:adjustRightInd w:val="0"/>
        <w:spacing w:after="0"/>
        <w:ind w:left="1134"/>
        <w:jc w:val="both"/>
        <w:rPr>
          <w:rFonts w:ascii="Times New Roman" w:eastAsia="Times New Roman" w:hAnsi="Times New Roman" w:cs="Times New Roman"/>
          <w:color w:val="000000"/>
          <w:sz w:val="24"/>
          <w:szCs w:val="24"/>
          <w:lang w:eastAsia="tr-TR"/>
        </w:rPr>
      </w:pPr>
    </w:p>
    <w:p w:rsidR="005C7CBB" w:rsidRPr="005C7CBB" w:rsidRDefault="005C7CBB" w:rsidP="005C7CBB">
      <w:pPr>
        <w:pStyle w:val="ListeParagraf"/>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imes New Roman" w:eastAsia="Times New Roman" w:hAnsi="Times New Roman" w:cs="Times New Roman"/>
          <w:color w:val="000000"/>
          <w:sz w:val="24"/>
          <w:szCs w:val="24"/>
          <w:u w:val="single"/>
          <w:lang w:eastAsia="tr-TR"/>
        </w:rPr>
      </w:pPr>
      <w:r w:rsidRPr="005C7CBB">
        <w:rPr>
          <w:rFonts w:ascii="Times New Roman" w:eastAsia="Times New Roman" w:hAnsi="Times New Roman" w:cs="Times New Roman"/>
          <w:color w:val="000000"/>
          <w:sz w:val="24"/>
          <w:szCs w:val="24"/>
          <w:u w:val="single"/>
          <w:lang w:eastAsia="tr-TR"/>
        </w:rPr>
        <w:t xml:space="preserve">Planlanan </w:t>
      </w:r>
    </w:p>
    <w:p w:rsidR="005C7CBB" w:rsidRPr="005C7CBB" w:rsidRDefault="005C7CBB" w:rsidP="005C7CBB">
      <w:pPr>
        <w:pStyle w:val="ListeParagraf"/>
        <w:numPr>
          <w:ilvl w:val="0"/>
          <w:numId w:val="17"/>
        </w:numPr>
        <w:pBdr>
          <w:top w:val="single" w:sz="4" w:space="1" w:color="auto"/>
          <w:left w:val="single" w:sz="4" w:space="4" w:color="auto"/>
          <w:bottom w:val="single" w:sz="4" w:space="1" w:color="auto"/>
          <w:right w:val="single" w:sz="4" w:space="4" w:color="auto"/>
        </w:pBdr>
        <w:autoSpaceDE w:val="0"/>
        <w:autoSpaceDN w:val="0"/>
        <w:adjustRightInd w:val="0"/>
        <w:spacing w:after="0"/>
        <w:ind w:firstLine="414"/>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 xml:space="preserve">Uluslararası havacılık sektöründen kaynaklanan sera gazı emisyonlarının </w:t>
      </w:r>
      <w:r w:rsidR="00663775">
        <w:rPr>
          <w:rFonts w:ascii="Times New Roman" w:eastAsia="Times New Roman" w:hAnsi="Times New Roman" w:cs="Times New Roman"/>
          <w:color w:val="000000"/>
          <w:sz w:val="24"/>
          <w:szCs w:val="24"/>
          <w:lang w:eastAsia="tr-TR"/>
        </w:rPr>
        <w:t xml:space="preserve"> </w:t>
      </w:r>
      <w:r w:rsidRPr="005C7CBB">
        <w:rPr>
          <w:rFonts w:ascii="Times New Roman" w:eastAsia="Times New Roman" w:hAnsi="Times New Roman" w:cs="Times New Roman"/>
          <w:color w:val="000000"/>
          <w:sz w:val="24"/>
          <w:szCs w:val="24"/>
          <w:lang w:eastAsia="tr-TR"/>
        </w:rPr>
        <w:t xml:space="preserve">izlenmesi ve raporlamasına ilişkin yönetmelik (2012) </w:t>
      </w:r>
    </w:p>
    <w:p w:rsidR="005C7CBB" w:rsidRPr="005C7CBB" w:rsidRDefault="005C7CBB" w:rsidP="005C7CBB">
      <w:pPr>
        <w:pStyle w:val="ListeParagraf"/>
        <w:numPr>
          <w:ilvl w:val="0"/>
          <w:numId w:val="17"/>
        </w:numPr>
        <w:pBdr>
          <w:top w:val="single" w:sz="4" w:space="1" w:color="auto"/>
          <w:left w:val="single" w:sz="4" w:space="4" w:color="auto"/>
          <w:bottom w:val="single" w:sz="4" w:space="1" w:color="auto"/>
          <w:right w:val="single" w:sz="4" w:space="4" w:color="auto"/>
        </w:pBdr>
        <w:autoSpaceDE w:val="0"/>
        <w:autoSpaceDN w:val="0"/>
        <w:adjustRightInd w:val="0"/>
        <w:spacing w:after="0"/>
        <w:ind w:firstLine="414"/>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 xml:space="preserve">Atık sektöründen kaynaklanan sera gazı emisyonlarının izlenmesi ve raporlamasına ilişkin yönetmelik (2014) </w:t>
      </w:r>
    </w:p>
    <w:p w:rsidR="005C7CBB" w:rsidRPr="005C7CBB" w:rsidRDefault="005C7CBB" w:rsidP="005C7CBB">
      <w:pPr>
        <w:pStyle w:val="ListeParagraf"/>
        <w:numPr>
          <w:ilvl w:val="0"/>
          <w:numId w:val="17"/>
        </w:numPr>
        <w:pBdr>
          <w:top w:val="single" w:sz="4" w:space="1" w:color="auto"/>
          <w:left w:val="single" w:sz="4" w:space="4" w:color="auto"/>
          <w:bottom w:val="single" w:sz="4" w:space="1" w:color="auto"/>
          <w:right w:val="single" w:sz="4" w:space="4" w:color="auto"/>
        </w:pBdr>
        <w:autoSpaceDE w:val="0"/>
        <w:autoSpaceDN w:val="0"/>
        <w:adjustRightInd w:val="0"/>
        <w:spacing w:after="0"/>
        <w:ind w:firstLine="414"/>
        <w:jc w:val="both"/>
        <w:rPr>
          <w:rFonts w:ascii="Times New Roman" w:eastAsia="Times New Roman" w:hAnsi="Times New Roman" w:cs="Times New Roman"/>
          <w:color w:val="000000"/>
          <w:sz w:val="24"/>
          <w:szCs w:val="24"/>
          <w:lang w:eastAsia="tr-TR"/>
        </w:rPr>
      </w:pPr>
      <w:r w:rsidRPr="005C7CBB">
        <w:rPr>
          <w:rFonts w:ascii="Times New Roman" w:eastAsia="Times New Roman" w:hAnsi="Times New Roman" w:cs="Times New Roman"/>
          <w:color w:val="000000"/>
          <w:sz w:val="24"/>
          <w:szCs w:val="24"/>
          <w:lang w:eastAsia="tr-TR"/>
        </w:rPr>
        <w:t>Sera Gazı Emisyonu azaltıcı faaliyetlerin (plan, program, proje, yatırım…) kayıt altına alınmasına ilişkin düzenleme (2014 sonrası)</w:t>
      </w:r>
    </w:p>
    <w:p w:rsidR="005C7CBB" w:rsidRPr="005C7CBB" w:rsidRDefault="005C7CBB" w:rsidP="005C7CBB">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p>
    <w:p w:rsidR="005C7CBB" w:rsidRPr="005C7CBB" w:rsidRDefault="005C7CBB" w:rsidP="005C7CBB">
      <w:pPr>
        <w:pStyle w:val="ListeParagraf"/>
        <w:jc w:val="both"/>
        <w:rPr>
          <w:rFonts w:ascii="Times New Roman" w:eastAsia="Times New Roman" w:hAnsi="Times New Roman" w:cs="Times New Roman"/>
          <w:color w:val="000000"/>
          <w:sz w:val="24"/>
          <w:szCs w:val="24"/>
          <w:lang w:eastAsia="tr-TR"/>
        </w:rPr>
      </w:pPr>
    </w:p>
    <w:p w:rsidR="005C7CBB" w:rsidRPr="005C7CBB" w:rsidRDefault="005C7CBB" w:rsidP="005C7CBB">
      <w:pPr>
        <w:pStyle w:val="ListeParagraf"/>
        <w:jc w:val="both"/>
        <w:rPr>
          <w:rFonts w:ascii="Times New Roman" w:eastAsia="Times New Roman" w:hAnsi="Times New Roman" w:cs="Times New Roman"/>
          <w:color w:val="000000"/>
          <w:sz w:val="24"/>
          <w:szCs w:val="24"/>
          <w:lang w:eastAsia="tr-TR"/>
        </w:rPr>
      </w:pPr>
    </w:p>
    <w:p w:rsidR="005C7CBB" w:rsidRPr="005C7CBB" w:rsidRDefault="005C7CBB" w:rsidP="005C7CBB">
      <w:pPr>
        <w:pStyle w:val="ListeParagraf"/>
        <w:autoSpaceDE w:val="0"/>
        <w:autoSpaceDN w:val="0"/>
        <w:adjustRightInd w:val="0"/>
        <w:jc w:val="both"/>
        <w:rPr>
          <w:rFonts w:ascii="Times New Roman" w:eastAsia="Times New Roman" w:hAnsi="Times New Roman" w:cs="Times New Roman"/>
          <w:color w:val="000000"/>
          <w:sz w:val="24"/>
          <w:szCs w:val="24"/>
          <w:lang w:eastAsia="tr-TR"/>
        </w:rPr>
      </w:pPr>
    </w:p>
    <w:p w:rsidR="005C7CBB" w:rsidRPr="005C7CBB" w:rsidRDefault="005C7CBB" w:rsidP="005C7CBB">
      <w:pPr>
        <w:pStyle w:val="ListeParagraf"/>
        <w:jc w:val="both"/>
        <w:rPr>
          <w:rFonts w:ascii="Times New Roman" w:eastAsia="Times New Roman" w:hAnsi="Times New Roman" w:cs="Times New Roman"/>
          <w:color w:val="000000"/>
          <w:sz w:val="24"/>
          <w:szCs w:val="24"/>
          <w:lang w:eastAsia="tr-TR"/>
        </w:rPr>
      </w:pPr>
    </w:p>
    <w:p w:rsidR="005C7CBB" w:rsidRPr="009C6835" w:rsidRDefault="005C7CBB" w:rsidP="005C7CBB">
      <w:pPr>
        <w:pStyle w:val="ListeParagraf"/>
        <w:autoSpaceDE w:val="0"/>
        <w:autoSpaceDN w:val="0"/>
        <w:adjustRightInd w:val="0"/>
        <w:spacing w:after="0"/>
        <w:ind w:left="0"/>
        <w:jc w:val="both"/>
        <w:rPr>
          <w:rFonts w:ascii="Times New Roman" w:eastAsia="Times New Roman" w:hAnsi="Times New Roman" w:cs="Times New Roman"/>
          <w:color w:val="000000"/>
          <w:sz w:val="24"/>
          <w:szCs w:val="24"/>
          <w:lang w:eastAsia="tr-TR"/>
        </w:rPr>
      </w:pPr>
    </w:p>
    <w:p w:rsidR="00577AF1" w:rsidRPr="00C528AB" w:rsidRDefault="00577AF1" w:rsidP="005C7CBB">
      <w:pPr>
        <w:autoSpaceDE w:val="0"/>
        <w:autoSpaceDN w:val="0"/>
        <w:adjustRightInd w:val="0"/>
        <w:spacing w:after="0"/>
        <w:jc w:val="both"/>
        <w:rPr>
          <w:rFonts w:ascii="Times New Roman" w:hAnsi="Times New Roman" w:cs="Times New Roman"/>
          <w:b/>
          <w:noProof w:val="0"/>
          <w:sz w:val="24"/>
          <w:szCs w:val="24"/>
        </w:rPr>
      </w:pPr>
    </w:p>
    <w:sectPr w:rsidR="00577AF1" w:rsidRPr="00C528AB" w:rsidSect="00CB6C81">
      <w:footerReference w:type="default" r:id="rId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375" w:rsidRDefault="00410375" w:rsidP="00682783">
      <w:pPr>
        <w:spacing w:after="0" w:line="240" w:lineRule="auto"/>
      </w:pPr>
      <w:r>
        <w:separator/>
      </w:r>
    </w:p>
  </w:endnote>
  <w:endnote w:type="continuationSeparator" w:id="1">
    <w:p w:rsidR="00410375" w:rsidRDefault="00410375" w:rsidP="006827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Adobe Garamond Pro">
    <w:altName w:val="Adobe Garamond Pro"/>
    <w:panose1 w:val="00000000000000000000"/>
    <w:charset w:val="A2"/>
    <w:family w:val="roman"/>
    <w:notTrueType/>
    <w:pitch w:val="default"/>
    <w:sig w:usb0="00000005" w:usb1="00000000" w:usb2="00000000" w:usb3="00000000" w:csb0="00000010" w:csb1="00000000"/>
  </w:font>
  <w:font w:name="Tahoma,Bold">
    <w:altName w:val="Times New Roman"/>
    <w:panose1 w:val="00000000000000000000"/>
    <w:charset w:val="00"/>
    <w:family w:val="roman"/>
    <w:notTrueType/>
    <w:pitch w:val="default"/>
    <w:sig w:usb0="00000001" w:usb1="00000000" w:usb2="00000000" w:usb3="00000000" w:csb0="00000011"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3" w:usb1="08070000" w:usb2="00000010" w:usb3="00000000" w:csb0="00020011"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31141"/>
      <w:docPartObj>
        <w:docPartGallery w:val="Page Numbers (Bottom of Page)"/>
        <w:docPartUnique/>
      </w:docPartObj>
    </w:sdtPr>
    <w:sdtContent>
      <w:p w:rsidR="00410375" w:rsidRDefault="00A23AA1">
        <w:pPr>
          <w:pStyle w:val="Altbilgi"/>
          <w:jc w:val="center"/>
        </w:pPr>
        <w:fldSimple w:instr=" PAGE   \* MERGEFORMAT ">
          <w:r w:rsidR="00A048B2">
            <w:t>24</w:t>
          </w:r>
        </w:fldSimple>
      </w:p>
    </w:sdtContent>
  </w:sdt>
  <w:p w:rsidR="00410375" w:rsidRDefault="0041037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375" w:rsidRDefault="00410375" w:rsidP="00682783">
      <w:pPr>
        <w:spacing w:after="0" w:line="240" w:lineRule="auto"/>
      </w:pPr>
      <w:r>
        <w:separator/>
      </w:r>
    </w:p>
  </w:footnote>
  <w:footnote w:type="continuationSeparator" w:id="1">
    <w:p w:rsidR="00410375" w:rsidRDefault="00410375" w:rsidP="006827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51F0"/>
    <w:multiLevelType w:val="hybridMultilevel"/>
    <w:tmpl w:val="6600A1D0"/>
    <w:lvl w:ilvl="0" w:tplc="09821704">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
    <w:nsid w:val="08927C58"/>
    <w:multiLevelType w:val="hybridMultilevel"/>
    <w:tmpl w:val="5F94319C"/>
    <w:lvl w:ilvl="0" w:tplc="160075AA">
      <w:numFmt w:val="bullet"/>
      <w:lvlText w:val="•"/>
      <w:lvlJc w:val="left"/>
      <w:pPr>
        <w:ind w:left="640" w:hanging="360"/>
      </w:pPr>
      <w:rPr>
        <w:rFonts w:ascii="Arial" w:eastAsiaTheme="minorHAnsi" w:hAnsi="Arial" w:cs="Arial" w:hint="default"/>
        <w:color w:val="000000"/>
      </w:rPr>
    </w:lvl>
    <w:lvl w:ilvl="1" w:tplc="041F0003" w:tentative="1">
      <w:start w:val="1"/>
      <w:numFmt w:val="bullet"/>
      <w:lvlText w:val="o"/>
      <w:lvlJc w:val="left"/>
      <w:pPr>
        <w:ind w:left="1360" w:hanging="360"/>
      </w:pPr>
      <w:rPr>
        <w:rFonts w:ascii="Courier New" w:hAnsi="Courier New" w:cs="Courier New" w:hint="default"/>
      </w:rPr>
    </w:lvl>
    <w:lvl w:ilvl="2" w:tplc="041F0005" w:tentative="1">
      <w:start w:val="1"/>
      <w:numFmt w:val="bullet"/>
      <w:lvlText w:val=""/>
      <w:lvlJc w:val="left"/>
      <w:pPr>
        <w:ind w:left="2080" w:hanging="360"/>
      </w:pPr>
      <w:rPr>
        <w:rFonts w:ascii="Wingdings" w:hAnsi="Wingdings" w:hint="default"/>
      </w:rPr>
    </w:lvl>
    <w:lvl w:ilvl="3" w:tplc="041F0001" w:tentative="1">
      <w:start w:val="1"/>
      <w:numFmt w:val="bullet"/>
      <w:lvlText w:val=""/>
      <w:lvlJc w:val="left"/>
      <w:pPr>
        <w:ind w:left="2800" w:hanging="360"/>
      </w:pPr>
      <w:rPr>
        <w:rFonts w:ascii="Symbol" w:hAnsi="Symbol" w:hint="default"/>
      </w:rPr>
    </w:lvl>
    <w:lvl w:ilvl="4" w:tplc="041F0003" w:tentative="1">
      <w:start w:val="1"/>
      <w:numFmt w:val="bullet"/>
      <w:lvlText w:val="o"/>
      <w:lvlJc w:val="left"/>
      <w:pPr>
        <w:ind w:left="3520" w:hanging="360"/>
      </w:pPr>
      <w:rPr>
        <w:rFonts w:ascii="Courier New" w:hAnsi="Courier New" w:cs="Courier New" w:hint="default"/>
      </w:rPr>
    </w:lvl>
    <w:lvl w:ilvl="5" w:tplc="041F0005" w:tentative="1">
      <w:start w:val="1"/>
      <w:numFmt w:val="bullet"/>
      <w:lvlText w:val=""/>
      <w:lvlJc w:val="left"/>
      <w:pPr>
        <w:ind w:left="4240" w:hanging="360"/>
      </w:pPr>
      <w:rPr>
        <w:rFonts w:ascii="Wingdings" w:hAnsi="Wingdings" w:hint="default"/>
      </w:rPr>
    </w:lvl>
    <w:lvl w:ilvl="6" w:tplc="041F0001" w:tentative="1">
      <w:start w:val="1"/>
      <w:numFmt w:val="bullet"/>
      <w:lvlText w:val=""/>
      <w:lvlJc w:val="left"/>
      <w:pPr>
        <w:ind w:left="4960" w:hanging="360"/>
      </w:pPr>
      <w:rPr>
        <w:rFonts w:ascii="Symbol" w:hAnsi="Symbol" w:hint="default"/>
      </w:rPr>
    </w:lvl>
    <w:lvl w:ilvl="7" w:tplc="041F0003" w:tentative="1">
      <w:start w:val="1"/>
      <w:numFmt w:val="bullet"/>
      <w:lvlText w:val="o"/>
      <w:lvlJc w:val="left"/>
      <w:pPr>
        <w:ind w:left="5680" w:hanging="360"/>
      </w:pPr>
      <w:rPr>
        <w:rFonts w:ascii="Courier New" w:hAnsi="Courier New" w:cs="Courier New" w:hint="default"/>
      </w:rPr>
    </w:lvl>
    <w:lvl w:ilvl="8" w:tplc="041F0005" w:tentative="1">
      <w:start w:val="1"/>
      <w:numFmt w:val="bullet"/>
      <w:lvlText w:val=""/>
      <w:lvlJc w:val="left"/>
      <w:pPr>
        <w:ind w:left="6400" w:hanging="360"/>
      </w:pPr>
      <w:rPr>
        <w:rFonts w:ascii="Wingdings" w:hAnsi="Wingdings" w:hint="default"/>
      </w:rPr>
    </w:lvl>
  </w:abstractNum>
  <w:abstractNum w:abstractNumId="2">
    <w:nsid w:val="16945121"/>
    <w:multiLevelType w:val="hybridMultilevel"/>
    <w:tmpl w:val="637AA3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8150C1A"/>
    <w:multiLevelType w:val="hybridMultilevel"/>
    <w:tmpl w:val="00B475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C330722"/>
    <w:multiLevelType w:val="hybridMultilevel"/>
    <w:tmpl w:val="ADF8B2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372526"/>
    <w:multiLevelType w:val="hybridMultilevel"/>
    <w:tmpl w:val="988CA818"/>
    <w:lvl w:ilvl="0" w:tplc="43AC71F6">
      <w:start w:val="1"/>
      <w:numFmt w:val="bullet"/>
      <w:lvlText w:val="•"/>
      <w:lvlJc w:val="left"/>
      <w:pPr>
        <w:tabs>
          <w:tab w:val="num" w:pos="720"/>
        </w:tabs>
        <w:ind w:left="720" w:hanging="360"/>
      </w:pPr>
      <w:rPr>
        <w:rFonts w:ascii="Arial" w:hAnsi="Arial" w:hint="default"/>
      </w:rPr>
    </w:lvl>
    <w:lvl w:ilvl="1" w:tplc="81446B5A" w:tentative="1">
      <w:start w:val="1"/>
      <w:numFmt w:val="bullet"/>
      <w:lvlText w:val="•"/>
      <w:lvlJc w:val="left"/>
      <w:pPr>
        <w:tabs>
          <w:tab w:val="num" w:pos="1440"/>
        </w:tabs>
        <w:ind w:left="1440" w:hanging="360"/>
      </w:pPr>
      <w:rPr>
        <w:rFonts w:ascii="Arial" w:hAnsi="Arial" w:hint="default"/>
      </w:rPr>
    </w:lvl>
    <w:lvl w:ilvl="2" w:tplc="DFC06804" w:tentative="1">
      <w:start w:val="1"/>
      <w:numFmt w:val="bullet"/>
      <w:lvlText w:val="•"/>
      <w:lvlJc w:val="left"/>
      <w:pPr>
        <w:tabs>
          <w:tab w:val="num" w:pos="2160"/>
        </w:tabs>
        <w:ind w:left="2160" w:hanging="360"/>
      </w:pPr>
      <w:rPr>
        <w:rFonts w:ascii="Arial" w:hAnsi="Arial" w:hint="default"/>
      </w:rPr>
    </w:lvl>
    <w:lvl w:ilvl="3" w:tplc="0240C7CA" w:tentative="1">
      <w:start w:val="1"/>
      <w:numFmt w:val="bullet"/>
      <w:lvlText w:val="•"/>
      <w:lvlJc w:val="left"/>
      <w:pPr>
        <w:tabs>
          <w:tab w:val="num" w:pos="2880"/>
        </w:tabs>
        <w:ind w:left="2880" w:hanging="360"/>
      </w:pPr>
      <w:rPr>
        <w:rFonts w:ascii="Arial" w:hAnsi="Arial" w:hint="default"/>
      </w:rPr>
    </w:lvl>
    <w:lvl w:ilvl="4" w:tplc="12D6E5DA" w:tentative="1">
      <w:start w:val="1"/>
      <w:numFmt w:val="bullet"/>
      <w:lvlText w:val="•"/>
      <w:lvlJc w:val="left"/>
      <w:pPr>
        <w:tabs>
          <w:tab w:val="num" w:pos="3600"/>
        </w:tabs>
        <w:ind w:left="3600" w:hanging="360"/>
      </w:pPr>
      <w:rPr>
        <w:rFonts w:ascii="Arial" w:hAnsi="Arial" w:hint="default"/>
      </w:rPr>
    </w:lvl>
    <w:lvl w:ilvl="5" w:tplc="899C8E02" w:tentative="1">
      <w:start w:val="1"/>
      <w:numFmt w:val="bullet"/>
      <w:lvlText w:val="•"/>
      <w:lvlJc w:val="left"/>
      <w:pPr>
        <w:tabs>
          <w:tab w:val="num" w:pos="4320"/>
        </w:tabs>
        <w:ind w:left="4320" w:hanging="360"/>
      </w:pPr>
      <w:rPr>
        <w:rFonts w:ascii="Arial" w:hAnsi="Arial" w:hint="default"/>
      </w:rPr>
    </w:lvl>
    <w:lvl w:ilvl="6" w:tplc="4F223A52" w:tentative="1">
      <w:start w:val="1"/>
      <w:numFmt w:val="bullet"/>
      <w:lvlText w:val="•"/>
      <w:lvlJc w:val="left"/>
      <w:pPr>
        <w:tabs>
          <w:tab w:val="num" w:pos="5040"/>
        </w:tabs>
        <w:ind w:left="5040" w:hanging="360"/>
      </w:pPr>
      <w:rPr>
        <w:rFonts w:ascii="Arial" w:hAnsi="Arial" w:hint="default"/>
      </w:rPr>
    </w:lvl>
    <w:lvl w:ilvl="7" w:tplc="E398E7C4" w:tentative="1">
      <w:start w:val="1"/>
      <w:numFmt w:val="bullet"/>
      <w:lvlText w:val="•"/>
      <w:lvlJc w:val="left"/>
      <w:pPr>
        <w:tabs>
          <w:tab w:val="num" w:pos="5760"/>
        </w:tabs>
        <w:ind w:left="5760" w:hanging="360"/>
      </w:pPr>
      <w:rPr>
        <w:rFonts w:ascii="Arial" w:hAnsi="Arial" w:hint="default"/>
      </w:rPr>
    </w:lvl>
    <w:lvl w:ilvl="8" w:tplc="EE24664C" w:tentative="1">
      <w:start w:val="1"/>
      <w:numFmt w:val="bullet"/>
      <w:lvlText w:val="•"/>
      <w:lvlJc w:val="left"/>
      <w:pPr>
        <w:tabs>
          <w:tab w:val="num" w:pos="6480"/>
        </w:tabs>
        <w:ind w:left="6480" w:hanging="360"/>
      </w:pPr>
      <w:rPr>
        <w:rFonts w:ascii="Arial" w:hAnsi="Arial" w:hint="default"/>
      </w:rPr>
    </w:lvl>
  </w:abstractNum>
  <w:abstractNum w:abstractNumId="6">
    <w:nsid w:val="223C14CA"/>
    <w:multiLevelType w:val="hybridMultilevel"/>
    <w:tmpl w:val="6426980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nsid w:val="23273708"/>
    <w:multiLevelType w:val="hybridMultilevel"/>
    <w:tmpl w:val="B39AAE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A693FD1"/>
    <w:multiLevelType w:val="hybridMultilevel"/>
    <w:tmpl w:val="007287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B591F77"/>
    <w:multiLevelType w:val="hybridMultilevel"/>
    <w:tmpl w:val="8BB66B28"/>
    <w:lvl w:ilvl="0" w:tplc="160075AA">
      <w:numFmt w:val="bullet"/>
      <w:lvlText w:val="•"/>
      <w:lvlJc w:val="left"/>
      <w:pPr>
        <w:ind w:left="640" w:hanging="360"/>
      </w:pPr>
      <w:rPr>
        <w:rFonts w:ascii="Arial" w:eastAsiaTheme="minorHAnsi" w:hAnsi="Arial" w:cs="Aria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BFE6492"/>
    <w:multiLevelType w:val="hybridMultilevel"/>
    <w:tmpl w:val="5DA86AA2"/>
    <w:lvl w:ilvl="0" w:tplc="65D295F4">
      <w:start w:val="1"/>
      <w:numFmt w:val="bullet"/>
      <w:lvlText w:val="•"/>
      <w:lvlJc w:val="left"/>
      <w:pPr>
        <w:tabs>
          <w:tab w:val="num" w:pos="720"/>
        </w:tabs>
        <w:ind w:left="720" w:hanging="360"/>
      </w:pPr>
      <w:rPr>
        <w:rFonts w:ascii="Times New Roman" w:hAnsi="Times New Roman" w:hint="default"/>
      </w:rPr>
    </w:lvl>
    <w:lvl w:ilvl="1" w:tplc="1DD6DDDA" w:tentative="1">
      <w:start w:val="1"/>
      <w:numFmt w:val="bullet"/>
      <w:lvlText w:val="•"/>
      <w:lvlJc w:val="left"/>
      <w:pPr>
        <w:tabs>
          <w:tab w:val="num" w:pos="1440"/>
        </w:tabs>
        <w:ind w:left="1440" w:hanging="360"/>
      </w:pPr>
      <w:rPr>
        <w:rFonts w:ascii="Times New Roman" w:hAnsi="Times New Roman" w:hint="default"/>
      </w:rPr>
    </w:lvl>
    <w:lvl w:ilvl="2" w:tplc="B2BC89EE" w:tentative="1">
      <w:start w:val="1"/>
      <w:numFmt w:val="bullet"/>
      <w:lvlText w:val="•"/>
      <w:lvlJc w:val="left"/>
      <w:pPr>
        <w:tabs>
          <w:tab w:val="num" w:pos="2160"/>
        </w:tabs>
        <w:ind w:left="2160" w:hanging="360"/>
      </w:pPr>
      <w:rPr>
        <w:rFonts w:ascii="Times New Roman" w:hAnsi="Times New Roman" w:hint="default"/>
      </w:rPr>
    </w:lvl>
    <w:lvl w:ilvl="3" w:tplc="F2D09EB0" w:tentative="1">
      <w:start w:val="1"/>
      <w:numFmt w:val="bullet"/>
      <w:lvlText w:val="•"/>
      <w:lvlJc w:val="left"/>
      <w:pPr>
        <w:tabs>
          <w:tab w:val="num" w:pos="2880"/>
        </w:tabs>
        <w:ind w:left="2880" w:hanging="360"/>
      </w:pPr>
      <w:rPr>
        <w:rFonts w:ascii="Times New Roman" w:hAnsi="Times New Roman" w:hint="default"/>
      </w:rPr>
    </w:lvl>
    <w:lvl w:ilvl="4" w:tplc="5A48DF94" w:tentative="1">
      <w:start w:val="1"/>
      <w:numFmt w:val="bullet"/>
      <w:lvlText w:val="•"/>
      <w:lvlJc w:val="left"/>
      <w:pPr>
        <w:tabs>
          <w:tab w:val="num" w:pos="3600"/>
        </w:tabs>
        <w:ind w:left="3600" w:hanging="360"/>
      </w:pPr>
      <w:rPr>
        <w:rFonts w:ascii="Times New Roman" w:hAnsi="Times New Roman" w:hint="default"/>
      </w:rPr>
    </w:lvl>
    <w:lvl w:ilvl="5" w:tplc="E6587072" w:tentative="1">
      <w:start w:val="1"/>
      <w:numFmt w:val="bullet"/>
      <w:lvlText w:val="•"/>
      <w:lvlJc w:val="left"/>
      <w:pPr>
        <w:tabs>
          <w:tab w:val="num" w:pos="4320"/>
        </w:tabs>
        <w:ind w:left="4320" w:hanging="360"/>
      </w:pPr>
      <w:rPr>
        <w:rFonts w:ascii="Times New Roman" w:hAnsi="Times New Roman" w:hint="default"/>
      </w:rPr>
    </w:lvl>
    <w:lvl w:ilvl="6" w:tplc="5B622396" w:tentative="1">
      <w:start w:val="1"/>
      <w:numFmt w:val="bullet"/>
      <w:lvlText w:val="•"/>
      <w:lvlJc w:val="left"/>
      <w:pPr>
        <w:tabs>
          <w:tab w:val="num" w:pos="5040"/>
        </w:tabs>
        <w:ind w:left="5040" w:hanging="360"/>
      </w:pPr>
      <w:rPr>
        <w:rFonts w:ascii="Times New Roman" w:hAnsi="Times New Roman" w:hint="default"/>
      </w:rPr>
    </w:lvl>
    <w:lvl w:ilvl="7" w:tplc="83F27C94" w:tentative="1">
      <w:start w:val="1"/>
      <w:numFmt w:val="bullet"/>
      <w:lvlText w:val="•"/>
      <w:lvlJc w:val="left"/>
      <w:pPr>
        <w:tabs>
          <w:tab w:val="num" w:pos="5760"/>
        </w:tabs>
        <w:ind w:left="5760" w:hanging="360"/>
      </w:pPr>
      <w:rPr>
        <w:rFonts w:ascii="Times New Roman" w:hAnsi="Times New Roman" w:hint="default"/>
      </w:rPr>
    </w:lvl>
    <w:lvl w:ilvl="8" w:tplc="ADB482B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6FE6EE3"/>
    <w:multiLevelType w:val="hybridMultilevel"/>
    <w:tmpl w:val="7C72AC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A1F7BC7"/>
    <w:multiLevelType w:val="hybridMultilevel"/>
    <w:tmpl w:val="96A24A4E"/>
    <w:lvl w:ilvl="0" w:tplc="041F0001">
      <w:start w:val="1"/>
      <w:numFmt w:val="bullet"/>
      <w:lvlText w:val=""/>
      <w:lvlJc w:val="left"/>
      <w:pPr>
        <w:ind w:left="720" w:hanging="360"/>
      </w:pPr>
      <w:rPr>
        <w:rFonts w:ascii="Symbol" w:hAnsi="Symbol" w:hint="default"/>
      </w:rPr>
    </w:lvl>
    <w:lvl w:ilvl="1" w:tplc="24761E0C">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17E4611"/>
    <w:multiLevelType w:val="hybridMultilevel"/>
    <w:tmpl w:val="088A09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D8D687B"/>
    <w:multiLevelType w:val="hybridMultilevel"/>
    <w:tmpl w:val="20CA52C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5DB68EB"/>
    <w:multiLevelType w:val="hybridMultilevel"/>
    <w:tmpl w:val="81B802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8690120"/>
    <w:multiLevelType w:val="hybridMultilevel"/>
    <w:tmpl w:val="C66CC8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CF8732B"/>
    <w:multiLevelType w:val="hybridMultilevel"/>
    <w:tmpl w:val="F1063D8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E297303"/>
    <w:multiLevelType w:val="hybridMultilevel"/>
    <w:tmpl w:val="FE9A2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E673D14"/>
    <w:multiLevelType w:val="hybridMultilevel"/>
    <w:tmpl w:val="E2D24E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F2078A0"/>
    <w:multiLevelType w:val="hybridMultilevel"/>
    <w:tmpl w:val="6AF82502"/>
    <w:lvl w:ilvl="0" w:tplc="0DA491A8">
      <w:start w:val="1"/>
      <w:numFmt w:val="bullet"/>
      <w:lvlText w:val="•"/>
      <w:lvlJc w:val="left"/>
      <w:pPr>
        <w:tabs>
          <w:tab w:val="num" w:pos="720"/>
        </w:tabs>
        <w:ind w:left="720" w:hanging="360"/>
      </w:pPr>
      <w:rPr>
        <w:rFonts w:ascii="Arial" w:hAnsi="Arial" w:hint="default"/>
      </w:rPr>
    </w:lvl>
    <w:lvl w:ilvl="1" w:tplc="3D3202F0" w:tentative="1">
      <w:start w:val="1"/>
      <w:numFmt w:val="bullet"/>
      <w:lvlText w:val="•"/>
      <w:lvlJc w:val="left"/>
      <w:pPr>
        <w:tabs>
          <w:tab w:val="num" w:pos="1440"/>
        </w:tabs>
        <w:ind w:left="1440" w:hanging="360"/>
      </w:pPr>
      <w:rPr>
        <w:rFonts w:ascii="Arial" w:hAnsi="Arial" w:hint="default"/>
      </w:rPr>
    </w:lvl>
    <w:lvl w:ilvl="2" w:tplc="320A0A74" w:tentative="1">
      <w:start w:val="1"/>
      <w:numFmt w:val="bullet"/>
      <w:lvlText w:val="•"/>
      <w:lvlJc w:val="left"/>
      <w:pPr>
        <w:tabs>
          <w:tab w:val="num" w:pos="2160"/>
        </w:tabs>
        <w:ind w:left="2160" w:hanging="360"/>
      </w:pPr>
      <w:rPr>
        <w:rFonts w:ascii="Arial" w:hAnsi="Arial" w:hint="default"/>
      </w:rPr>
    </w:lvl>
    <w:lvl w:ilvl="3" w:tplc="79D0857C" w:tentative="1">
      <w:start w:val="1"/>
      <w:numFmt w:val="bullet"/>
      <w:lvlText w:val="•"/>
      <w:lvlJc w:val="left"/>
      <w:pPr>
        <w:tabs>
          <w:tab w:val="num" w:pos="2880"/>
        </w:tabs>
        <w:ind w:left="2880" w:hanging="360"/>
      </w:pPr>
      <w:rPr>
        <w:rFonts w:ascii="Arial" w:hAnsi="Arial" w:hint="default"/>
      </w:rPr>
    </w:lvl>
    <w:lvl w:ilvl="4" w:tplc="51B60C26" w:tentative="1">
      <w:start w:val="1"/>
      <w:numFmt w:val="bullet"/>
      <w:lvlText w:val="•"/>
      <w:lvlJc w:val="left"/>
      <w:pPr>
        <w:tabs>
          <w:tab w:val="num" w:pos="3600"/>
        </w:tabs>
        <w:ind w:left="3600" w:hanging="360"/>
      </w:pPr>
      <w:rPr>
        <w:rFonts w:ascii="Arial" w:hAnsi="Arial" w:hint="default"/>
      </w:rPr>
    </w:lvl>
    <w:lvl w:ilvl="5" w:tplc="7F9AADDC" w:tentative="1">
      <w:start w:val="1"/>
      <w:numFmt w:val="bullet"/>
      <w:lvlText w:val="•"/>
      <w:lvlJc w:val="left"/>
      <w:pPr>
        <w:tabs>
          <w:tab w:val="num" w:pos="4320"/>
        </w:tabs>
        <w:ind w:left="4320" w:hanging="360"/>
      </w:pPr>
      <w:rPr>
        <w:rFonts w:ascii="Arial" w:hAnsi="Arial" w:hint="default"/>
      </w:rPr>
    </w:lvl>
    <w:lvl w:ilvl="6" w:tplc="4FE0969E" w:tentative="1">
      <w:start w:val="1"/>
      <w:numFmt w:val="bullet"/>
      <w:lvlText w:val="•"/>
      <w:lvlJc w:val="left"/>
      <w:pPr>
        <w:tabs>
          <w:tab w:val="num" w:pos="5040"/>
        </w:tabs>
        <w:ind w:left="5040" w:hanging="360"/>
      </w:pPr>
      <w:rPr>
        <w:rFonts w:ascii="Arial" w:hAnsi="Arial" w:hint="default"/>
      </w:rPr>
    </w:lvl>
    <w:lvl w:ilvl="7" w:tplc="AA422444" w:tentative="1">
      <w:start w:val="1"/>
      <w:numFmt w:val="bullet"/>
      <w:lvlText w:val="•"/>
      <w:lvlJc w:val="left"/>
      <w:pPr>
        <w:tabs>
          <w:tab w:val="num" w:pos="5760"/>
        </w:tabs>
        <w:ind w:left="5760" w:hanging="360"/>
      </w:pPr>
      <w:rPr>
        <w:rFonts w:ascii="Arial" w:hAnsi="Arial" w:hint="default"/>
      </w:rPr>
    </w:lvl>
    <w:lvl w:ilvl="8" w:tplc="9AFC5A48" w:tentative="1">
      <w:start w:val="1"/>
      <w:numFmt w:val="bullet"/>
      <w:lvlText w:val="•"/>
      <w:lvlJc w:val="left"/>
      <w:pPr>
        <w:tabs>
          <w:tab w:val="num" w:pos="6480"/>
        </w:tabs>
        <w:ind w:left="6480" w:hanging="360"/>
      </w:pPr>
      <w:rPr>
        <w:rFonts w:ascii="Arial" w:hAnsi="Arial" w:hint="default"/>
      </w:rPr>
    </w:lvl>
  </w:abstractNum>
  <w:abstractNum w:abstractNumId="21">
    <w:nsid w:val="737B1234"/>
    <w:multiLevelType w:val="hybridMultilevel"/>
    <w:tmpl w:val="25A6B65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2">
    <w:nsid w:val="7BA13147"/>
    <w:multiLevelType w:val="hybridMultilevel"/>
    <w:tmpl w:val="5DA86E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17"/>
  </w:num>
  <w:num w:numId="4">
    <w:abstractNumId w:val="14"/>
  </w:num>
  <w:num w:numId="5">
    <w:abstractNumId w:val="13"/>
  </w:num>
  <w:num w:numId="6">
    <w:abstractNumId w:val="20"/>
  </w:num>
  <w:num w:numId="7">
    <w:abstractNumId w:val="5"/>
  </w:num>
  <w:num w:numId="8">
    <w:abstractNumId w:val="10"/>
  </w:num>
  <w:num w:numId="9">
    <w:abstractNumId w:val="15"/>
  </w:num>
  <w:num w:numId="10">
    <w:abstractNumId w:val="2"/>
  </w:num>
  <w:num w:numId="11">
    <w:abstractNumId w:val="12"/>
  </w:num>
  <w:num w:numId="12">
    <w:abstractNumId w:val="8"/>
  </w:num>
  <w:num w:numId="13">
    <w:abstractNumId w:val="1"/>
  </w:num>
  <w:num w:numId="14">
    <w:abstractNumId w:val="9"/>
  </w:num>
  <w:num w:numId="15">
    <w:abstractNumId w:val="4"/>
  </w:num>
  <w:num w:numId="16">
    <w:abstractNumId w:val="19"/>
  </w:num>
  <w:num w:numId="17">
    <w:abstractNumId w:val="22"/>
  </w:num>
  <w:num w:numId="18">
    <w:abstractNumId w:val="3"/>
  </w:num>
  <w:num w:numId="19">
    <w:abstractNumId w:val="18"/>
  </w:num>
  <w:num w:numId="20">
    <w:abstractNumId w:val="7"/>
  </w:num>
  <w:num w:numId="21">
    <w:abstractNumId w:val="11"/>
  </w:num>
  <w:num w:numId="22">
    <w:abstractNumId w:val="6"/>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113197"/>
    <w:rsid w:val="00017011"/>
    <w:rsid w:val="0002254C"/>
    <w:rsid w:val="0002618B"/>
    <w:rsid w:val="00036057"/>
    <w:rsid w:val="00053A11"/>
    <w:rsid w:val="00055C53"/>
    <w:rsid w:val="0006073C"/>
    <w:rsid w:val="00061CFA"/>
    <w:rsid w:val="000747CE"/>
    <w:rsid w:val="00081AC0"/>
    <w:rsid w:val="00097B04"/>
    <w:rsid w:val="000A5B5E"/>
    <w:rsid w:val="000C1C28"/>
    <w:rsid w:val="000C5D2F"/>
    <w:rsid w:val="000D7E13"/>
    <w:rsid w:val="00106DEB"/>
    <w:rsid w:val="00113197"/>
    <w:rsid w:val="001174A0"/>
    <w:rsid w:val="00137350"/>
    <w:rsid w:val="001623A5"/>
    <w:rsid w:val="00174F34"/>
    <w:rsid w:val="00182845"/>
    <w:rsid w:val="0019247A"/>
    <w:rsid w:val="00192658"/>
    <w:rsid w:val="00194F72"/>
    <w:rsid w:val="001A30A2"/>
    <w:rsid w:val="001B4788"/>
    <w:rsid w:val="001C4592"/>
    <w:rsid w:val="001C6BDB"/>
    <w:rsid w:val="001D4DAD"/>
    <w:rsid w:val="001F0A25"/>
    <w:rsid w:val="001F2774"/>
    <w:rsid w:val="001F6127"/>
    <w:rsid w:val="001F6AAE"/>
    <w:rsid w:val="001F6D8E"/>
    <w:rsid w:val="00226F26"/>
    <w:rsid w:val="0023479E"/>
    <w:rsid w:val="00260199"/>
    <w:rsid w:val="00265D44"/>
    <w:rsid w:val="002A0499"/>
    <w:rsid w:val="002F0A7E"/>
    <w:rsid w:val="00307FBC"/>
    <w:rsid w:val="00310610"/>
    <w:rsid w:val="00320D5E"/>
    <w:rsid w:val="00325A60"/>
    <w:rsid w:val="00326354"/>
    <w:rsid w:val="003335A1"/>
    <w:rsid w:val="00351B01"/>
    <w:rsid w:val="00370916"/>
    <w:rsid w:val="0038382A"/>
    <w:rsid w:val="003D4B41"/>
    <w:rsid w:val="00403D43"/>
    <w:rsid w:val="00407F04"/>
    <w:rsid w:val="00410375"/>
    <w:rsid w:val="004330AD"/>
    <w:rsid w:val="004443B0"/>
    <w:rsid w:val="00466FEE"/>
    <w:rsid w:val="004724F6"/>
    <w:rsid w:val="0048568F"/>
    <w:rsid w:val="004927A2"/>
    <w:rsid w:val="004B4C83"/>
    <w:rsid w:val="004D2DE0"/>
    <w:rsid w:val="004F312D"/>
    <w:rsid w:val="004F4B42"/>
    <w:rsid w:val="004F4D9A"/>
    <w:rsid w:val="005034B1"/>
    <w:rsid w:val="00510692"/>
    <w:rsid w:val="00530628"/>
    <w:rsid w:val="00535348"/>
    <w:rsid w:val="0055001E"/>
    <w:rsid w:val="005568F6"/>
    <w:rsid w:val="00575CC5"/>
    <w:rsid w:val="00577AF1"/>
    <w:rsid w:val="005A78BA"/>
    <w:rsid w:val="005C6DCE"/>
    <w:rsid w:val="005C7CBB"/>
    <w:rsid w:val="0060266E"/>
    <w:rsid w:val="00604DB9"/>
    <w:rsid w:val="00622E61"/>
    <w:rsid w:val="00625D59"/>
    <w:rsid w:val="00625EDA"/>
    <w:rsid w:val="00627D67"/>
    <w:rsid w:val="00656634"/>
    <w:rsid w:val="00663775"/>
    <w:rsid w:val="006761C9"/>
    <w:rsid w:val="00682783"/>
    <w:rsid w:val="0068412B"/>
    <w:rsid w:val="00694F7D"/>
    <w:rsid w:val="006951D8"/>
    <w:rsid w:val="006A4EAA"/>
    <w:rsid w:val="006B6237"/>
    <w:rsid w:val="006E146A"/>
    <w:rsid w:val="006E2ABF"/>
    <w:rsid w:val="006F2F5E"/>
    <w:rsid w:val="00700EE3"/>
    <w:rsid w:val="007135CC"/>
    <w:rsid w:val="007222B1"/>
    <w:rsid w:val="00732909"/>
    <w:rsid w:val="0073384C"/>
    <w:rsid w:val="00746C29"/>
    <w:rsid w:val="0079725F"/>
    <w:rsid w:val="0079769F"/>
    <w:rsid w:val="007C761E"/>
    <w:rsid w:val="00805F35"/>
    <w:rsid w:val="008104DC"/>
    <w:rsid w:val="0081305F"/>
    <w:rsid w:val="00823CBE"/>
    <w:rsid w:val="00825E54"/>
    <w:rsid w:val="00837692"/>
    <w:rsid w:val="00843BD7"/>
    <w:rsid w:val="00854E01"/>
    <w:rsid w:val="00886E34"/>
    <w:rsid w:val="008966D2"/>
    <w:rsid w:val="008A1D69"/>
    <w:rsid w:val="008A55F7"/>
    <w:rsid w:val="008B10ED"/>
    <w:rsid w:val="008B59B0"/>
    <w:rsid w:val="008C0EB9"/>
    <w:rsid w:val="008C7895"/>
    <w:rsid w:val="008E2788"/>
    <w:rsid w:val="008E7EB1"/>
    <w:rsid w:val="00910B8D"/>
    <w:rsid w:val="0094707D"/>
    <w:rsid w:val="00982E5E"/>
    <w:rsid w:val="00983CD2"/>
    <w:rsid w:val="009A2472"/>
    <w:rsid w:val="009A26F5"/>
    <w:rsid w:val="009C3DC9"/>
    <w:rsid w:val="009E26CB"/>
    <w:rsid w:val="009E3CE5"/>
    <w:rsid w:val="009F04A5"/>
    <w:rsid w:val="00A01450"/>
    <w:rsid w:val="00A017C5"/>
    <w:rsid w:val="00A048B2"/>
    <w:rsid w:val="00A113E4"/>
    <w:rsid w:val="00A23AA1"/>
    <w:rsid w:val="00A33C0A"/>
    <w:rsid w:val="00A4506D"/>
    <w:rsid w:val="00A64FEC"/>
    <w:rsid w:val="00A77E90"/>
    <w:rsid w:val="00AA7941"/>
    <w:rsid w:val="00AC3196"/>
    <w:rsid w:val="00AD016D"/>
    <w:rsid w:val="00AF4A4A"/>
    <w:rsid w:val="00B15F11"/>
    <w:rsid w:val="00B236E1"/>
    <w:rsid w:val="00B373C8"/>
    <w:rsid w:val="00B375B1"/>
    <w:rsid w:val="00B46971"/>
    <w:rsid w:val="00B46E3E"/>
    <w:rsid w:val="00B67634"/>
    <w:rsid w:val="00B938DC"/>
    <w:rsid w:val="00BA2CBF"/>
    <w:rsid w:val="00BA2DCC"/>
    <w:rsid w:val="00BB1A36"/>
    <w:rsid w:val="00BC0DF5"/>
    <w:rsid w:val="00BD4702"/>
    <w:rsid w:val="00BE6F9B"/>
    <w:rsid w:val="00BF3628"/>
    <w:rsid w:val="00C200CC"/>
    <w:rsid w:val="00C33C1D"/>
    <w:rsid w:val="00C424B3"/>
    <w:rsid w:val="00C528AB"/>
    <w:rsid w:val="00C661DC"/>
    <w:rsid w:val="00C7559D"/>
    <w:rsid w:val="00C939A5"/>
    <w:rsid w:val="00CA690B"/>
    <w:rsid w:val="00CB6C81"/>
    <w:rsid w:val="00CB717C"/>
    <w:rsid w:val="00CD4101"/>
    <w:rsid w:val="00CE2685"/>
    <w:rsid w:val="00CF46A8"/>
    <w:rsid w:val="00D26BE5"/>
    <w:rsid w:val="00D307FF"/>
    <w:rsid w:val="00D323EB"/>
    <w:rsid w:val="00D44220"/>
    <w:rsid w:val="00D7772C"/>
    <w:rsid w:val="00D9180D"/>
    <w:rsid w:val="00D91CD4"/>
    <w:rsid w:val="00DB0825"/>
    <w:rsid w:val="00DB2F00"/>
    <w:rsid w:val="00DB690E"/>
    <w:rsid w:val="00E6150E"/>
    <w:rsid w:val="00E657E2"/>
    <w:rsid w:val="00E749C0"/>
    <w:rsid w:val="00E958C8"/>
    <w:rsid w:val="00EA0A47"/>
    <w:rsid w:val="00ED07FA"/>
    <w:rsid w:val="00F42444"/>
    <w:rsid w:val="00F54D5D"/>
    <w:rsid w:val="00F75755"/>
    <w:rsid w:val="00F803F2"/>
    <w:rsid w:val="00F8730B"/>
    <w:rsid w:val="00F97B5E"/>
    <w:rsid w:val="00FA4F89"/>
    <w:rsid w:val="00FC2F00"/>
    <w:rsid w:val="00FC3313"/>
    <w:rsid w:val="00FD5CAD"/>
    <w:rsid w:val="00FD65A5"/>
    <w:rsid w:val="00FE56C0"/>
    <w:rsid w:val="00FF69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C81"/>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0C5D2F"/>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8A1D69"/>
    <w:pPr>
      <w:ind w:left="720"/>
      <w:contextualSpacing/>
    </w:pPr>
  </w:style>
  <w:style w:type="table" w:styleId="TabloKlavuzu">
    <w:name w:val="Table Grid"/>
    <w:basedOn w:val="NormalTablo"/>
    <w:uiPriority w:val="59"/>
    <w:rsid w:val="00A77E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682783"/>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82783"/>
    <w:rPr>
      <w:noProof/>
    </w:rPr>
  </w:style>
  <w:style w:type="paragraph" w:styleId="Altbilgi">
    <w:name w:val="footer"/>
    <w:basedOn w:val="Normal"/>
    <w:link w:val="AltbilgiChar"/>
    <w:uiPriority w:val="99"/>
    <w:unhideWhenUsed/>
    <w:rsid w:val="0068278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82783"/>
    <w:rPr>
      <w:noProof/>
    </w:rPr>
  </w:style>
  <w:style w:type="paragraph" w:styleId="BalonMetni">
    <w:name w:val="Balloon Text"/>
    <w:basedOn w:val="Normal"/>
    <w:link w:val="BalonMetniChar"/>
    <w:uiPriority w:val="99"/>
    <w:semiHidden/>
    <w:unhideWhenUsed/>
    <w:rsid w:val="00053A1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53A11"/>
    <w:rPr>
      <w:rFonts w:ascii="Tahoma" w:hAnsi="Tahoma" w:cs="Tahoma"/>
      <w:noProof/>
      <w:sz w:val="16"/>
      <w:szCs w:val="16"/>
    </w:rPr>
  </w:style>
  <w:style w:type="paragraph" w:styleId="GvdeMetni">
    <w:name w:val="Body Text"/>
    <w:basedOn w:val="Normal"/>
    <w:link w:val="GvdeMetniChar"/>
    <w:semiHidden/>
    <w:unhideWhenUsed/>
    <w:rsid w:val="00B67634"/>
    <w:pPr>
      <w:spacing w:after="0" w:line="240" w:lineRule="auto"/>
      <w:jc w:val="both"/>
      <w:outlineLvl w:val="0"/>
    </w:pPr>
    <w:rPr>
      <w:rFonts w:ascii="Times New Roman" w:eastAsia="Times New Roman" w:hAnsi="Times New Roman" w:cs="Times New Roman"/>
      <w:noProof w:val="0"/>
      <w:color w:val="0000FF"/>
      <w:sz w:val="24"/>
      <w:szCs w:val="20"/>
      <w:lang w:val="en-GB"/>
    </w:rPr>
  </w:style>
  <w:style w:type="character" w:customStyle="1" w:styleId="GvdeMetniChar">
    <w:name w:val="Gövde Metni Char"/>
    <w:basedOn w:val="VarsaylanParagrafYazTipi"/>
    <w:link w:val="GvdeMetni"/>
    <w:semiHidden/>
    <w:rsid w:val="00B67634"/>
    <w:rPr>
      <w:rFonts w:ascii="Times New Roman" w:eastAsia="Times New Roman" w:hAnsi="Times New Roman" w:cs="Times New Roman"/>
      <w:color w:val="0000FF"/>
      <w:sz w:val="24"/>
      <w:szCs w:val="20"/>
      <w:lang w:val="en-GB"/>
    </w:rPr>
  </w:style>
  <w:style w:type="paragraph" w:customStyle="1" w:styleId="Pa14">
    <w:name w:val="Pa14"/>
    <w:basedOn w:val="Default"/>
    <w:next w:val="Default"/>
    <w:uiPriority w:val="99"/>
    <w:rsid w:val="00260199"/>
    <w:pPr>
      <w:spacing w:line="211" w:lineRule="atLeast"/>
    </w:pPr>
    <w:rPr>
      <w:rFonts w:ascii="Adobe Garamond Pro" w:hAnsi="Adobe Garamond Pro" w:cstheme="minorBidi"/>
      <w:color w:val="auto"/>
    </w:rPr>
  </w:style>
  <w:style w:type="paragraph" w:customStyle="1" w:styleId="Pa18">
    <w:name w:val="Pa18"/>
    <w:basedOn w:val="Default"/>
    <w:next w:val="Default"/>
    <w:uiPriority w:val="99"/>
    <w:rsid w:val="00260199"/>
    <w:pPr>
      <w:spacing w:line="211" w:lineRule="atLeast"/>
    </w:pPr>
    <w:rPr>
      <w:rFonts w:ascii="Adobe Garamond Pro" w:hAnsi="Adobe Garamond Pro" w:cstheme="minorBidi"/>
      <w:color w:val="auto"/>
    </w:rPr>
  </w:style>
  <w:style w:type="character" w:styleId="Kpr">
    <w:name w:val="Hyperlink"/>
    <w:basedOn w:val="VarsaylanParagrafYazTipi"/>
    <w:unhideWhenUsed/>
    <w:rsid w:val="00C528AB"/>
    <w:rPr>
      <w:color w:val="0000FF"/>
      <w:u w:val="single"/>
    </w:rPr>
  </w:style>
  <w:style w:type="paragraph" w:styleId="ResimYazs">
    <w:name w:val="caption"/>
    <w:basedOn w:val="Normal"/>
    <w:next w:val="Normal"/>
    <w:uiPriority w:val="35"/>
    <w:unhideWhenUsed/>
    <w:qFormat/>
    <w:rsid w:val="00C528AB"/>
    <w:pPr>
      <w:spacing w:line="240" w:lineRule="auto"/>
    </w:pPr>
    <w:rPr>
      <w:b/>
      <w:bCs/>
      <w:noProof w:val="0"/>
      <w:color w:val="4F81BD" w:themeColor="accent1"/>
      <w:sz w:val="18"/>
      <w:szCs w:val="18"/>
    </w:rPr>
  </w:style>
  <w:style w:type="paragraph" w:styleId="NormalWeb">
    <w:name w:val="Normal (Web)"/>
    <w:basedOn w:val="Normal"/>
    <w:uiPriority w:val="99"/>
    <w:unhideWhenUsed/>
    <w:rsid w:val="00577AF1"/>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m.org.tr/tr/default.asp" TargetMode="External"/><Relationship Id="rId13" Type="http://schemas.openxmlformats.org/officeDocument/2006/relationships/hyperlink" Target="http://reach.immib.org.tr/web/index.php?option=com_glossary&amp;func=view&amp;Itemid=74&amp;catid=14&amp;term=%DCretici" TargetMode="External"/><Relationship Id="rId18" Type="http://schemas.openxmlformats.org/officeDocument/2006/relationships/hyperlink" Target="http://rega.basbakanlik.gov.tr/eskiler/2008/06/20080606-6.htm" TargetMode="External"/><Relationship Id="rId26"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yperlink" Target="http://rega.basbakanlik.gov.tr/eskiler/2010/01/20100127-9.htm" TargetMode="External"/><Relationship Id="rId7" Type="http://schemas.openxmlformats.org/officeDocument/2006/relationships/endnotes" Target="endnotes.xml"/><Relationship Id="rId12" Type="http://schemas.openxmlformats.org/officeDocument/2006/relationships/hyperlink" Target="http://reach.immib.org.tr/web/index.php?option=com_glossary&amp;func=view&amp;Itemid=74&amp;catid=14&amp;term=G%FCvenlik+Bilgi+Formu+%28GBF%29" TargetMode="External"/><Relationship Id="rId17" Type="http://schemas.openxmlformats.org/officeDocument/2006/relationships/image" Target="media/image3.png"/><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mevzuat.adalet.gov.tr/html/23076.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ach.immib.org.tr/web/dokumanlar/Kayit-rehberi-tr.pdf" TargetMode="External"/><Relationship Id="rId24" Type="http://schemas.openxmlformats.org/officeDocument/2006/relationships/hyperlink" Target="http://www.cygm.gov.tr/CYGM/Files/EylemPlan/Temiz_Hava_Eylem_Plani.pdf" TargetMode="External"/><Relationship Id="rId5" Type="http://schemas.openxmlformats.org/officeDocument/2006/relationships/webSettings" Target="webSettings.xml"/><Relationship Id="rId15" Type="http://schemas.openxmlformats.org/officeDocument/2006/relationships/hyperlink" Target="http://reach.immib.org.tr/web/index.php?option=com_content&amp;task=view&amp;id=147&amp;Itemid=142" TargetMode="External"/><Relationship Id="rId23" Type="http://schemas.openxmlformats.org/officeDocument/2006/relationships/hyperlink" Target="http://rega.basbakanlik.gov.tr/eskiler/2010/09/20100904-10.htm" TargetMode="External"/><Relationship Id="rId28" Type="http://schemas.openxmlformats.org/officeDocument/2006/relationships/footer" Target="footer1.xml"/><Relationship Id="rId10" Type="http://schemas.openxmlformats.org/officeDocument/2006/relationships/hyperlink" Target="http://reach.immib.org.tr/web/index.php?option=com_content&amp;task=view&amp;id=38&amp;Itemid=95&amp;phpMyAdmin=2p8bZQKjlFaVmOGyAMzUX6coO69" TargetMode="External"/><Relationship Id="rId19" Type="http://schemas.openxmlformats.org/officeDocument/2006/relationships/hyperlink" Target="http://rega.basbakanlik.gov.tr/eskiler/2009/07/20090703-20..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reach.immib.org.tr/web/index.php?option=com_glossary&amp;func=view&amp;Itemid=74&amp;catid=14&amp;term=Maruziyet+Senaryosu" TargetMode="External"/><Relationship Id="rId22" Type="http://schemas.openxmlformats.org/officeDocument/2006/relationships/hyperlink" Target="http://rega.basbakanlik.gov.tr/eskiler/2009/04/20090404-5.htm" TargetMode="External"/><Relationship Id="rId27" Type="http://schemas.openxmlformats.org/officeDocument/2006/relationships/package" Target="embeddings/Microsoft_Office_PowerPoint_Slayd_1.sldx"/><Relationship Id="rId30"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37B68-C943-4971-875E-47B1BCFA9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26</Pages>
  <Words>8798</Words>
  <Characters>50153</Characters>
  <Application>Microsoft Office Word</Application>
  <DocSecurity>0</DocSecurity>
  <Lines>417</Lines>
  <Paragraphs>117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ozdemirg</dc:creator>
  <cp:keywords/>
  <dc:description/>
  <cp:lastModifiedBy> </cp:lastModifiedBy>
  <cp:revision>195</cp:revision>
  <cp:lastPrinted>2012-07-05T08:39:00Z</cp:lastPrinted>
  <dcterms:created xsi:type="dcterms:W3CDTF">2012-07-05T10:08:00Z</dcterms:created>
  <dcterms:modified xsi:type="dcterms:W3CDTF">2012-07-06T12:06:00Z</dcterms:modified>
</cp:coreProperties>
</file>